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18fd" w14:textId="fdd1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marginal price of liquefied petroleum gas sold as part of the plan for the supply of liquefied petroleum gas to the domestic market of the Republic of Kazakhstan beyond electronic trading platforms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September 14, 2018 No. 374. Registered with the Ministry of Justice of the Republic of Kazakhstan on October 4, 2018 No. 17483.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subparagraph 7) of Article 6 of the Law of the Republic of Kazakhstan dated January 9, 2012 “On Gas and Gas Supply”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Approve the marginal price of liquefied petroleum gas sold as part of the plan for the supply of liquefied petroleum gas to the domestic market of the Republic of Kazakhstan beyond electronic trading platforms for the period from October 1 to 2018 in the amount of KZT38, 701.67 (thirty eight thousand seven hundred one tenge sixty seven tiyn) per ton, excluding value added tax. </w:t>
      </w:r>
    </w:p>
    <w:p>
      <w:pPr>
        <w:spacing w:after="0"/>
        <w:ind w:left="0"/>
        <w:jc w:val="both"/>
      </w:pPr>
      <w:r>
        <w:rPr>
          <w:rFonts w:ascii="Times New Roman"/>
          <w:b w:val="false"/>
          <w:i w:val="false"/>
          <w:color w:val="000000"/>
          <w:sz w:val="28"/>
        </w:rPr>
        <w:t>
      2. The Department for the development of Gas Industry of the Ministry of Energy of the Republic of Kazakhstan, in accordance with the procedure established by the legislation of the Republic of Kazakhstan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 it to the Republican State Enterprise with the Right of Economic Management "Republican Center of Legal Information of the Ministry of Justice of the Republic of Kazakhstan"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order on the Internet resource of the Ministry of Energy of the Republic of Kazakhstan;</w:t>
      </w:r>
    </w:p>
    <w:p>
      <w:pPr>
        <w:spacing w:after="0"/>
        <w:ind w:left="0"/>
        <w:jc w:val="both"/>
      </w:pPr>
      <w:r>
        <w:rPr>
          <w:rFonts w:ascii="Times New Roman"/>
          <w:b w:val="false"/>
          <w:i w:val="false"/>
          <w:color w:val="000000"/>
          <w:sz w:val="28"/>
        </w:rPr>
        <w:t>
      4) within ten working days after the state registration of this order, submit the data on execution of the actions provided for in subparagraphs 1), 2) and 3) of this paragraph to the Legal Department of the Ministry of Energy of the Republic of Kazakhstan.</w:t>
      </w:r>
    </w:p>
    <w:p>
      <w:pPr>
        <w:spacing w:after="0"/>
        <w:ind w:left="0"/>
        <w:jc w:val="both"/>
      </w:pPr>
      <w:r>
        <w:rPr>
          <w:rFonts w:ascii="Times New Roman"/>
          <w:b w:val="false"/>
          <w:i w:val="false"/>
          <w:color w:val="000000"/>
          <w:sz w:val="28"/>
        </w:rPr>
        <w:t>
      3. Control over the execution of this order shall be entrusted to Supervising Vice-Minister of Energy of the Republic of Kazakhstan.</w:t>
      </w:r>
    </w:p>
    <w:p>
      <w:pPr>
        <w:spacing w:after="0"/>
        <w:ind w:left="0"/>
        <w:jc w:val="both"/>
      </w:pPr>
      <w:r>
        <w:rPr>
          <w:rFonts w:ascii="Times New Roman"/>
          <w:b w:val="false"/>
          <w:i w:val="false"/>
          <w:color w:val="000000"/>
          <w:sz w:val="28"/>
        </w:rPr>
        <w:t>
      4. This order shall be enforced from the date of its first official publication.</w:t>
      </w:r>
    </w:p>
    <w:tbl>
      <w:tblPr>
        <w:tblW w:w="0" w:type="auto"/>
        <w:tblCellSpacing w:w="0" w:type="auto"/>
        <w:tblBorders>
          <w:top w:val="none"/>
          <w:left w:val="none"/>
          <w:bottom w:val="none"/>
          <w:right w:val="none"/>
          <w:insideH w:val="none"/>
          <w:insideV w:val="none"/>
        </w:tblBorders>
      </w:tblPr>
      <w:tblGrid>
        <w:gridCol w:w="7775"/>
        <w:gridCol w:w="4225"/>
      </w:tblGrid>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Energy</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Bozumbayev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 T. Suleimenov</w:t>
      </w:r>
    </w:p>
    <w:p>
      <w:pPr>
        <w:spacing w:after="0"/>
        <w:ind w:left="0"/>
        <w:jc w:val="both"/>
      </w:pPr>
      <w:r>
        <w:rPr>
          <w:rFonts w:ascii="Times New Roman"/>
          <w:b w:val="false"/>
          <w:i w:val="false"/>
          <w:color w:val="000000"/>
          <w:sz w:val="28"/>
        </w:rPr>
        <w:t>
      "___" __________2018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