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fa7b" w14:textId="3d4f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in the field of industrial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August 29, 2018 No. 1350. Registered with the Ministry of Justice of the Republic of Kazakhstan on October 1, 2018 No. 17455.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For the purposes of implementation of the Law of the Republic of Kazakhstan dated June 20, 2018 no.161 "On introducing amendments and addenda to some legislative acts of the Republic of Kazakhstan on the issues of improvement of legislation in the field of intellectual property"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Rules for consideration of an application for the item of industrial property in accordance with the Agreement on patent cooperation and Eurasian Patent Convention in accordance with Annex 1 to this order;</w:t>
      </w:r>
    </w:p>
    <w:p>
      <w:pPr>
        <w:spacing w:after="0"/>
        <w:ind w:left="0"/>
        <w:jc w:val="both"/>
      </w:pPr>
      <w:r>
        <w:rPr>
          <w:rFonts w:ascii="Times New Roman"/>
          <w:b w:val="false"/>
          <w:i w:val="false"/>
          <w:color w:val="000000"/>
          <w:sz w:val="28"/>
        </w:rPr>
        <w:t>
      2) The Rules for consideration of an application for a trademark in accordance with Madrid Agreement Concerning the International Registration of Marks and the Protocol to the Madrid Agreement Concerning the International Registration of Marks, in accordance with Annex 2 to this order;</w:t>
      </w:r>
    </w:p>
    <w:p>
      <w:pPr>
        <w:spacing w:after="0"/>
        <w:ind w:left="0"/>
        <w:jc w:val="both"/>
      </w:pPr>
      <w:r>
        <w:rPr>
          <w:rFonts w:ascii="Times New Roman"/>
          <w:b w:val="false"/>
          <w:i w:val="false"/>
          <w:color w:val="000000"/>
          <w:sz w:val="28"/>
        </w:rPr>
        <w:t>
      2. The Department of Intellectual Property Rights of the Ministry of Justice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Justice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order of the Minister of Justice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29, 2018 No. 1350</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consideration of an application for an industrial property object in accordance with </w:t>
      </w:r>
      <w:r>
        <w:br/>
      </w:r>
      <w:r>
        <w:rPr>
          <w:rFonts w:ascii="Times New Roman"/>
          <w:b/>
          <w:i w:val="false"/>
          <w:color w:val="000000"/>
        </w:rPr>
        <w:t>the Patent Cooperation Treaty and the Eurasian Patent Convention</w:t>
      </w:r>
    </w:p>
    <w:p>
      <w:pPr>
        <w:spacing w:after="0"/>
        <w:ind w:left="0"/>
        <w:jc w:val="both"/>
      </w:pPr>
      <w:r>
        <w:rPr>
          <w:rFonts w:ascii="Times New Roman"/>
          <w:b w:val="false"/>
          <w:i w:val="false"/>
          <w:color w:val="ff0000"/>
          <w:sz w:val="28"/>
        </w:rPr>
        <w:t xml:space="preserve">
      Footnote. The Rules as amended by the order of the Minister of Justice of the Republic of Kazakhstan dated 20.09.2022 </w:t>
      </w:r>
      <w:r>
        <w:rPr>
          <w:rFonts w:ascii="Times New Roman"/>
          <w:b w:val="false"/>
          <w:i w:val="false"/>
          <w:color w:val="ff0000"/>
          <w:sz w:val="28"/>
        </w:rPr>
        <w:t>No. 793</w:t>
      </w:r>
      <w:r>
        <w:rPr>
          <w:rFonts w:ascii="Times New Roman"/>
          <w:b w:val="false"/>
          <w:i w:val="false"/>
          <w:color w:val="ff0000"/>
          <w:sz w:val="28"/>
        </w:rPr>
        <w:t xml:space="preserve">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consideration of an application for an industrial property object in accordance with the Patent Cooperation Treaty and the Eurasian Patent Convention (hereinafter referred to as the Rules) developed in accordance with subparagraph 2) of paragraph 2 of Article 4 of the Law of the Republic of Kazakhstan "Patent Law of the Republic of Kazakhstan" (hereinafter referred to as the Law) and shall determine the procedure for consideration of an application for an industrial property object in accordance with the Patent Cooperation Treaty and the Eurasian Patent Convention.</w:t>
      </w:r>
    </w:p>
    <w:p>
      <w:pPr>
        <w:spacing w:after="0"/>
        <w:ind w:left="0"/>
        <w:jc w:val="both"/>
      </w:pPr>
      <w:r>
        <w:rPr>
          <w:rFonts w:ascii="Times New Roman"/>
          <w:b w:val="false"/>
          <w:i w:val="false"/>
          <w:color w:val="000000"/>
          <w:sz w:val="28"/>
        </w:rPr>
        <w:t>
      2. The following notions shall be used in these Rules:</w:t>
      </w:r>
    </w:p>
    <w:p>
      <w:pPr>
        <w:spacing w:after="0"/>
        <w:ind w:left="0"/>
        <w:jc w:val="both"/>
      </w:pPr>
      <w:r>
        <w:rPr>
          <w:rFonts w:ascii="Times New Roman"/>
          <w:b w:val="false"/>
          <w:i w:val="false"/>
          <w:color w:val="000000"/>
          <w:sz w:val="28"/>
        </w:rPr>
        <w:t>
      1) The World Intellectual Property Organization – an international organization providing and regulating international policies and cooperation of countries in the field of intellectual property (hereinafter referred to as the "WIPO");</w:t>
      </w:r>
    </w:p>
    <w:p>
      <w:pPr>
        <w:spacing w:after="0"/>
        <w:ind w:left="0"/>
        <w:jc w:val="both"/>
      </w:pPr>
      <w:r>
        <w:rPr>
          <w:rFonts w:ascii="Times New Roman"/>
          <w:b w:val="false"/>
          <w:i w:val="false"/>
          <w:color w:val="000000"/>
          <w:sz w:val="28"/>
        </w:rPr>
        <w:t>
      2) a Eurasian application – an application, submitted in accordance with the Eurasian Patent Convention dated September 9,1994 or the Protocol on the Protection of Industrial Designs to the Eurasian Patent Convention of September 9, 1994;</w:t>
      </w:r>
    </w:p>
    <w:p>
      <w:pPr>
        <w:spacing w:after="0"/>
        <w:ind w:left="0"/>
        <w:jc w:val="both"/>
      </w:pPr>
      <w:r>
        <w:rPr>
          <w:rFonts w:ascii="Times New Roman"/>
          <w:b w:val="false"/>
          <w:i w:val="false"/>
          <w:color w:val="000000"/>
          <w:sz w:val="28"/>
        </w:rPr>
        <w:t>
      3) an expert organization – an organization established by the decision of the Government of the Republic of Kazakhstan, approved by the Decree of the Government of the Republic of Kazakhstan dated July 11, 2002 No. 756 "On the establishment of the Republican State Enterprise "National Institute of Intellectual Property of the Committee for Intellectual Property Rights of the Ministry of Justice of the Republic of Kazakhstan";</w:t>
      </w:r>
    </w:p>
    <w:p>
      <w:pPr>
        <w:spacing w:after="0"/>
        <w:ind w:left="0"/>
        <w:jc w:val="both"/>
      </w:pPr>
      <w:r>
        <w:rPr>
          <w:rFonts w:ascii="Times New Roman"/>
          <w:b w:val="false"/>
          <w:i w:val="false"/>
          <w:color w:val="000000"/>
          <w:sz w:val="28"/>
        </w:rPr>
        <w:t>
      4) an international application is an application filed under the Patent Cooperation Treaty of June 19, 1970 (hereinafter referred to as the PCT).</w:t>
      </w:r>
    </w:p>
    <w:p>
      <w:pPr>
        <w:spacing w:after="0"/>
        <w:ind w:left="0"/>
        <w:jc w:val="left"/>
      </w:pPr>
      <w:r>
        <w:rPr>
          <w:rFonts w:ascii="Times New Roman"/>
          <w:b/>
          <w:i w:val="false"/>
          <w:color w:val="000000"/>
        </w:rPr>
        <w:t xml:space="preserve"> Chapter 2. Procedure for consideration of an international application</w:t>
      </w:r>
    </w:p>
    <w:p>
      <w:pPr>
        <w:spacing w:after="0"/>
        <w:ind w:left="0"/>
        <w:jc w:val="both"/>
      </w:pPr>
      <w:r>
        <w:rPr>
          <w:rFonts w:ascii="Times New Roman"/>
          <w:b w:val="false"/>
          <w:i w:val="false"/>
          <w:color w:val="000000"/>
          <w:sz w:val="28"/>
        </w:rPr>
        <w:t>
      3. The expert organization in accordance with the PCT, Instructions under the РСТ, Administrative Instructions under the РСТ, the Law, shall perform functions of the receiving authority, associated with receipt, verification and forwarding of an international application.</w:t>
      </w:r>
    </w:p>
    <w:p>
      <w:pPr>
        <w:spacing w:after="0"/>
        <w:ind w:left="0"/>
        <w:jc w:val="both"/>
      </w:pPr>
      <w:r>
        <w:rPr>
          <w:rFonts w:ascii="Times New Roman"/>
          <w:b w:val="false"/>
          <w:i w:val="false"/>
          <w:color w:val="000000"/>
          <w:sz w:val="28"/>
        </w:rPr>
        <w:t>
      4. Consideration of an international application in the national phase shall be carried out in accordance with the Rules for Examining Applications for Industrial Property Objects, approved by Order of the Minister of Justice of the Republic of Kazakhstan dated August 29, 2018 No. 1349 (registered in the Register of State Registration of Regulatory Legal Acts No. 17459).</w:t>
      </w:r>
    </w:p>
    <w:p>
      <w:pPr>
        <w:spacing w:after="0"/>
        <w:ind w:left="0"/>
        <w:jc w:val="both"/>
      </w:pPr>
      <w:r>
        <w:rPr>
          <w:rFonts w:ascii="Times New Roman"/>
          <w:b w:val="false"/>
          <w:i w:val="false"/>
          <w:color w:val="000000"/>
          <w:sz w:val="28"/>
        </w:rPr>
        <w:t>
      5. In the event of the absence of translation of documents of the application into Kazakh or Russian languages in the submitted materials, if they are submitted in other language, the applicant shall be notified about the need to provide it within two months from the expiration date for entering the national phase. The period of provision of translation shall be extended but not more than two months in accordance with item 2 of article 16 of the Law.</w:t>
      </w:r>
    </w:p>
    <w:p>
      <w:pPr>
        <w:spacing w:after="0"/>
        <w:ind w:left="0"/>
        <w:jc w:val="both"/>
      </w:pPr>
      <w:r>
        <w:rPr>
          <w:rFonts w:ascii="Times New Roman"/>
          <w:b w:val="false"/>
          <w:i w:val="false"/>
          <w:color w:val="000000"/>
          <w:sz w:val="28"/>
        </w:rPr>
        <w:t>
      In case of a failure to provide the translation within the specified period, the application shall be considered not entered the national phase, of which the applicant will be notified. Registered materials shall not be returned, the clerical correspondence shall not be restored.</w:t>
      </w:r>
    </w:p>
    <w:p>
      <w:pPr>
        <w:spacing w:after="0"/>
        <w:ind w:left="0"/>
        <w:jc w:val="both"/>
      </w:pPr>
      <w:r>
        <w:rPr>
          <w:rFonts w:ascii="Times New Roman"/>
          <w:b w:val="false"/>
          <w:i w:val="false"/>
          <w:color w:val="000000"/>
          <w:sz w:val="28"/>
        </w:rPr>
        <w:t>
            6. The conversion of an international application for an invention into an application for a utility model shall be carried out in accordance with the Rules for the examination of applications for Industrial property objects approved in accordance with sub-item 2) of item 2 of article 4 of the Law.</w:t>
      </w:r>
    </w:p>
    <w:p>
      <w:pPr>
        <w:spacing w:after="0"/>
        <w:ind w:left="0"/>
        <w:jc w:val="left"/>
      </w:pPr>
      <w:r>
        <w:rPr>
          <w:rFonts w:ascii="Times New Roman"/>
          <w:b/>
          <w:i w:val="false"/>
          <w:color w:val="000000"/>
        </w:rPr>
        <w:t xml:space="preserve"> Chapter 3. Procedure for consideration of a Eurasian application</w:t>
      </w:r>
    </w:p>
    <w:p>
      <w:pPr>
        <w:spacing w:after="0"/>
        <w:ind w:left="0"/>
        <w:jc w:val="both"/>
      </w:pPr>
      <w:r>
        <w:rPr>
          <w:rFonts w:ascii="Times New Roman"/>
          <w:b w:val="false"/>
          <w:i w:val="false"/>
          <w:color w:val="000000"/>
          <w:sz w:val="28"/>
        </w:rPr>
        <w:t>
      7. The expert organization being governed by the Eurasian Patent Convention, Patent Instructions to the Eurasian Patent Convention and the Law shall perform the functions, related to verification and forwarding the Eurasian application to the Eurasian authority.</w:t>
      </w:r>
    </w:p>
    <w:p>
      <w:pPr>
        <w:spacing w:after="0"/>
        <w:ind w:left="0"/>
        <w:jc w:val="both"/>
      </w:pPr>
      <w:r>
        <w:rPr>
          <w:rFonts w:ascii="Times New Roman"/>
          <w:b w:val="false"/>
          <w:i w:val="false"/>
          <w:color w:val="000000"/>
          <w:sz w:val="28"/>
        </w:rPr>
        <w:t>
      8. The conversion of a Eurasian application into a national patent application and its consideration shall be carried out in accordance with the Eurasian Patent Convention and the Patent Instructions to the Eurasian Patent Convention.</w:t>
      </w:r>
    </w:p>
    <w:p>
      <w:pPr>
        <w:spacing w:after="0"/>
        <w:ind w:left="0"/>
        <w:jc w:val="both"/>
      </w:pPr>
      <w:r>
        <w:rPr>
          <w:rFonts w:ascii="Times New Roman"/>
          <w:b w:val="false"/>
          <w:i w:val="false"/>
          <w:color w:val="000000"/>
          <w:sz w:val="28"/>
        </w:rPr>
        <w:t>
      9. The document of payment for processing, checking and forwarding the Eurasian application shall be submitted when the application is filed or within three months from the date of sending the notification of receipt of the Eurasian application to the applicant. If the document of payment for the processing, verification and forwarding of the Eurasian application is not submitted, the application shall be considered not submitted, of which the applicant shall be notified within five working days.</w:t>
      </w:r>
    </w:p>
    <w:p>
      <w:pPr>
        <w:spacing w:after="0"/>
        <w:ind w:left="0"/>
        <w:jc w:val="left"/>
      </w:pPr>
      <w:r>
        <w:rPr>
          <w:rFonts w:ascii="Times New Roman"/>
          <w:b/>
          <w:i w:val="false"/>
          <w:color w:val="000000"/>
        </w:rPr>
        <w:t xml:space="preserve"> Chapter 4. Procedure for consideration of a Eurasian application for an industrial design</w:t>
      </w:r>
    </w:p>
    <w:p>
      <w:pPr>
        <w:spacing w:after="0"/>
        <w:ind w:left="0"/>
        <w:jc w:val="both"/>
      </w:pPr>
      <w:r>
        <w:rPr>
          <w:rFonts w:ascii="Times New Roman"/>
          <w:b w:val="false"/>
          <w:i w:val="false"/>
          <w:color w:val="000000"/>
          <w:sz w:val="28"/>
        </w:rPr>
        <w:t>
      10. The expert organization, being governed by the Protocol on the Protection of Industrial Designs to the Eurasian Patent Convention, the Patent Regulations to the Eurasian Patent Convention (Part II Industrial Designs) and the Law, shall perform the functions related to receiving, verifying and forwarding a Eurasian application for an industrial design to the Eurasian Office.</w:t>
      </w:r>
    </w:p>
    <w:p>
      <w:pPr>
        <w:spacing w:after="0"/>
        <w:ind w:left="0"/>
        <w:jc w:val="both"/>
      </w:pPr>
      <w:r>
        <w:rPr>
          <w:rFonts w:ascii="Times New Roman"/>
          <w:b w:val="false"/>
          <w:i w:val="false"/>
          <w:color w:val="000000"/>
          <w:sz w:val="28"/>
        </w:rPr>
        <w:t>
      11. The conversion of a Eurasian application for an industrial design into a national patent application and its consideration shall be carried out in accordance with the Protocol on the Protection of Industrial Designs to the Eurasian Patent Convention, the Patent Instructions to the Eurasian Patent Convention (Part II Industrial Designs)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order of the Minister of Justice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29, 2018 No. 1350</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consideration of a trademark application in accordance with the Protocol </w:t>
      </w:r>
      <w:r>
        <w:br/>
      </w:r>
      <w:r>
        <w:rPr>
          <w:rFonts w:ascii="Times New Roman"/>
          <w:b/>
          <w:i w:val="false"/>
          <w:color w:val="000000"/>
        </w:rPr>
        <w:t>to the Madrid Agreement concerning the International Registration of Marks</w:t>
      </w:r>
    </w:p>
    <w:p>
      <w:pPr>
        <w:spacing w:after="0"/>
        <w:ind w:left="0"/>
        <w:jc w:val="both"/>
      </w:pPr>
      <w:r>
        <w:rPr>
          <w:rFonts w:ascii="Times New Roman"/>
          <w:b w:val="false"/>
          <w:i w:val="false"/>
          <w:color w:val="ff0000"/>
          <w:sz w:val="28"/>
        </w:rPr>
        <w:t>
      Footnote. The Rules as amended by the order of the Minister of Justice of the Republic of Kazakhstan dated 20.09.2022 No. 793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consideration of a trademark application in accordance with the Protocol to the Madrid Agreement concerning the International Registration of Marks (hereinafter referred to as the Rules) have been developed in accordance with sub-item 2) of item 2 of article 3 of the Law of the Republic of Kazakhstan "On Trademarks, Service Marks, Geographical Indications and Appellations of Origin" (hereinafter referred to as the Law) shall determine the procedure for  consideration of a trademark application in accordance with the Protocol to the Madrid Agreement concerning the International Registration of Marks.</w:t>
      </w:r>
    </w:p>
    <w:p>
      <w:pPr>
        <w:spacing w:after="0"/>
        <w:ind w:left="0"/>
        <w:jc w:val="both"/>
      </w:pPr>
      <w:r>
        <w:rPr>
          <w:rFonts w:ascii="Times New Roman"/>
          <w:b w:val="false"/>
          <w:i w:val="false"/>
          <w:color w:val="000000"/>
          <w:sz w:val="28"/>
        </w:rPr>
        <w:t>
      The following notions shall be used in these Rules:</w:t>
      </w:r>
    </w:p>
    <w:p>
      <w:pPr>
        <w:spacing w:after="0"/>
        <w:ind w:left="0"/>
        <w:jc w:val="both"/>
      </w:pPr>
      <w:r>
        <w:rPr>
          <w:rFonts w:ascii="Times New Roman"/>
          <w:b w:val="false"/>
          <w:i w:val="false"/>
          <w:color w:val="000000"/>
          <w:sz w:val="28"/>
        </w:rPr>
        <w:t>
      1) The International Bureau of the World Intellectual Property Organization - an international organization that ensures and regulates international policy and cooperation of countries in the field of intellectual property (hereinafter referred to as the International Bureau);</w:t>
      </w:r>
    </w:p>
    <w:p>
      <w:pPr>
        <w:spacing w:after="0"/>
        <w:ind w:left="0"/>
        <w:jc w:val="both"/>
      </w:pPr>
      <w:r>
        <w:rPr>
          <w:rFonts w:ascii="Times New Roman"/>
          <w:b w:val="false"/>
          <w:i w:val="false"/>
          <w:color w:val="000000"/>
          <w:sz w:val="28"/>
        </w:rPr>
        <w:t>
      2) Expert organization - an organization created by decision of the Government of the Republic of Kazakhstan in the organizational-legal form of the Republican State Enterprise on the Right of Economic Management subordinated in its activities to the authorized body;</w:t>
      </w:r>
    </w:p>
    <w:p>
      <w:pPr>
        <w:spacing w:after="0"/>
        <w:ind w:left="0"/>
        <w:jc w:val="both"/>
      </w:pPr>
      <w:r>
        <w:rPr>
          <w:rFonts w:ascii="Times New Roman"/>
          <w:b w:val="false"/>
          <w:i w:val="false"/>
          <w:color w:val="000000"/>
          <w:sz w:val="28"/>
        </w:rPr>
        <w:t>
      3) International Classification of Goods and Services (hereinafter referred to as the ICGS) –, classification of goods and services used for registration of trademarks, adopted in the framework of the Nice Agreement of June 15, 1957 with subsequent amendments and additions;</w:t>
      </w:r>
    </w:p>
    <w:p>
      <w:pPr>
        <w:spacing w:after="0"/>
        <w:ind w:left="0"/>
        <w:jc w:val="both"/>
      </w:pPr>
      <w:r>
        <w:rPr>
          <w:rFonts w:ascii="Times New Roman"/>
          <w:b w:val="false"/>
          <w:i w:val="false"/>
          <w:color w:val="000000"/>
          <w:sz w:val="28"/>
        </w:rPr>
        <w:t>
      4) International Register – Register of international trademark applications and international registrations of marks of the International Bureau.</w:t>
      </w:r>
    </w:p>
    <w:p>
      <w:pPr>
        <w:spacing w:after="0"/>
        <w:ind w:left="0"/>
        <w:jc w:val="left"/>
      </w:pPr>
      <w:r>
        <w:rPr>
          <w:rFonts w:ascii="Times New Roman"/>
          <w:b/>
          <w:i w:val="false"/>
          <w:color w:val="000000"/>
        </w:rPr>
        <w:t xml:space="preserve"> Chapter 2. Procedure for submission of an application for international registration of aa mark</w:t>
      </w:r>
    </w:p>
    <w:p>
      <w:pPr>
        <w:spacing w:after="0"/>
        <w:ind w:left="0"/>
        <w:jc w:val="both"/>
      </w:pPr>
      <w:r>
        <w:rPr>
          <w:rFonts w:ascii="Times New Roman"/>
          <w:b w:val="false"/>
          <w:i w:val="false"/>
          <w:color w:val="000000"/>
          <w:sz w:val="28"/>
        </w:rPr>
        <w:t>
      2. The expert organization, being governed by the Madrid Agreement Concerning the International Registration of Marks and the Protocol to the Madrid Agreement Concerning the International Registration of Marks, shall perform the functions of the Office of Origin.</w:t>
      </w:r>
    </w:p>
    <w:p>
      <w:pPr>
        <w:spacing w:after="0"/>
        <w:ind w:left="0"/>
        <w:jc w:val="both"/>
      </w:pPr>
      <w:r>
        <w:rPr>
          <w:rFonts w:ascii="Times New Roman"/>
          <w:b w:val="false"/>
          <w:i w:val="false"/>
          <w:color w:val="000000"/>
          <w:sz w:val="28"/>
        </w:rPr>
        <w:t>
      3. The international application shall be attached with:</w:t>
      </w:r>
    </w:p>
    <w:p>
      <w:pPr>
        <w:spacing w:after="0"/>
        <w:ind w:left="0"/>
        <w:jc w:val="both"/>
      </w:pPr>
      <w:r>
        <w:rPr>
          <w:rFonts w:ascii="Times New Roman"/>
          <w:b w:val="false"/>
          <w:i w:val="false"/>
          <w:color w:val="000000"/>
          <w:sz w:val="28"/>
        </w:rPr>
        <w:t>
      A request for verification and forwarding of the international application;</w:t>
      </w:r>
    </w:p>
    <w:p>
      <w:pPr>
        <w:spacing w:after="0"/>
        <w:ind w:left="0"/>
        <w:jc w:val="both"/>
      </w:pPr>
      <w:r>
        <w:rPr>
          <w:rFonts w:ascii="Times New Roman"/>
          <w:b w:val="false"/>
          <w:i w:val="false"/>
          <w:color w:val="000000"/>
          <w:sz w:val="28"/>
        </w:rPr>
        <w:t>
      a request for registration and forwarding, or verification and forwarding of the application, of the international application, indicating the number of the basic application / registration of the mark, the name and address of the applicant, countries of distribution, goods and services of the international classification of goods and services;</w:t>
      </w:r>
    </w:p>
    <w:p>
      <w:pPr>
        <w:spacing w:after="0"/>
        <w:ind w:left="0"/>
        <w:jc w:val="both"/>
      </w:pPr>
      <w:r>
        <w:rPr>
          <w:rFonts w:ascii="Times New Roman"/>
          <w:b w:val="false"/>
          <w:i w:val="false"/>
          <w:color w:val="000000"/>
          <w:sz w:val="28"/>
        </w:rPr>
        <w:t>
      a document certifying the powers of a patent attorney (if an international application is submitted by a patent attorney) or a representative;</w:t>
      </w:r>
    </w:p>
    <w:p>
      <w:pPr>
        <w:spacing w:after="0"/>
        <w:ind w:left="0"/>
        <w:jc w:val="both"/>
      </w:pPr>
      <w:r>
        <w:rPr>
          <w:rFonts w:ascii="Times New Roman"/>
          <w:b w:val="false"/>
          <w:i w:val="false"/>
          <w:color w:val="000000"/>
          <w:sz w:val="28"/>
        </w:rPr>
        <w:t>
      a document confirming payment of the international fee to the International Bureau provided for by the Madrid Agreement Concerning the International Registration of Marks and the Protocol to the Madrid Agreement Concerning the International Registration of Marks;</w:t>
      </w:r>
    </w:p>
    <w:p>
      <w:pPr>
        <w:spacing w:after="0"/>
        <w:ind w:left="0"/>
        <w:jc w:val="both"/>
      </w:pPr>
      <w:r>
        <w:rPr>
          <w:rFonts w:ascii="Times New Roman"/>
          <w:b w:val="false"/>
          <w:i w:val="false"/>
          <w:color w:val="000000"/>
          <w:sz w:val="28"/>
        </w:rPr>
        <w:t>
      a document confirming payment for the services of an expert organization for processing and sending, or checking and sending an application to the International Bureau;</w:t>
      </w:r>
    </w:p>
    <w:p>
      <w:pPr>
        <w:spacing w:after="0"/>
        <w:ind w:left="0"/>
        <w:jc w:val="both"/>
      </w:pPr>
      <w:r>
        <w:rPr>
          <w:rFonts w:ascii="Times New Roman"/>
          <w:b w:val="false"/>
          <w:i w:val="false"/>
          <w:color w:val="000000"/>
          <w:sz w:val="28"/>
        </w:rPr>
        <w:t>
      official form of MM2, filled out in accordance with the Regulations to the Protocol to the Madrid Agreement Concerning the International Registration of Marks, when submitting a request for verification and forwarding of an application for international registration;</w:t>
      </w:r>
    </w:p>
    <w:p>
      <w:pPr>
        <w:spacing w:after="0"/>
        <w:ind w:left="0"/>
        <w:jc w:val="both"/>
      </w:pPr>
      <w:r>
        <w:rPr>
          <w:rFonts w:ascii="Times New Roman"/>
          <w:b w:val="false"/>
          <w:i w:val="false"/>
          <w:color w:val="000000"/>
          <w:sz w:val="28"/>
        </w:rPr>
        <w:t>
      documents provided in accordance with international treaties of the Republic of Kazakhstan (if necessary).</w:t>
      </w:r>
    </w:p>
    <w:p>
      <w:pPr>
        <w:spacing w:after="0"/>
        <w:ind w:left="0"/>
        <w:jc w:val="both"/>
      </w:pPr>
      <w:r>
        <w:rPr>
          <w:rFonts w:ascii="Times New Roman"/>
          <w:b w:val="false"/>
          <w:i w:val="false"/>
          <w:color w:val="000000"/>
          <w:sz w:val="28"/>
        </w:rPr>
        <w:t>
      4. A request for the execution and forwarding of an international application to the International Bureau shall be submitted in any form, a document confirming payment for the services of an expert organization for the preparation and forwarding of an international application to the International Bureau shall be attached to the request.</w:t>
      </w:r>
    </w:p>
    <w:p>
      <w:pPr>
        <w:spacing w:after="0"/>
        <w:ind w:left="0"/>
        <w:jc w:val="both"/>
      </w:pPr>
      <w:r>
        <w:rPr>
          <w:rFonts w:ascii="Times New Roman"/>
          <w:b w:val="false"/>
          <w:i w:val="false"/>
          <w:color w:val="000000"/>
          <w:sz w:val="28"/>
        </w:rPr>
        <w:t>
      5. A request for the execution and forwarding of an international application may be submitted by the representative of the applicant on the basis of a power of attorney.</w:t>
      </w:r>
    </w:p>
    <w:p>
      <w:pPr>
        <w:spacing w:after="0"/>
        <w:ind w:left="0"/>
        <w:jc w:val="both"/>
      </w:pPr>
      <w:r>
        <w:rPr>
          <w:rFonts w:ascii="Times New Roman"/>
          <w:b w:val="false"/>
          <w:i w:val="false"/>
          <w:color w:val="000000"/>
          <w:sz w:val="28"/>
        </w:rPr>
        <w:t>
      6. In the absence of a document confirming payment for the services of an expert organization, an invoice for payment shall be sent to the applicant. The document on payment shall be submitted by the applicant no later than one month from the date of sending the invoice for payment.</w:t>
      </w:r>
    </w:p>
    <w:p>
      <w:pPr>
        <w:spacing w:after="0"/>
        <w:ind w:left="0"/>
        <w:jc w:val="both"/>
      </w:pPr>
      <w:r>
        <w:rPr>
          <w:rFonts w:ascii="Times New Roman"/>
          <w:b w:val="false"/>
          <w:i w:val="false"/>
          <w:color w:val="000000"/>
          <w:sz w:val="28"/>
        </w:rPr>
        <w:t>
      If one of the documents specified in item 3 of Chapter 2 of these Rules is not submitted, the application for execution and forwarding, or verification and forwarding of the international application for consideration shall not be accepted, of which the applicant shall be notified in writing.</w:t>
      </w:r>
    </w:p>
    <w:p>
      <w:pPr>
        <w:spacing w:after="0"/>
        <w:ind w:left="0"/>
        <w:jc w:val="both"/>
      </w:pPr>
      <w:r>
        <w:rPr>
          <w:rFonts w:ascii="Times New Roman"/>
          <w:b w:val="false"/>
          <w:i w:val="false"/>
          <w:color w:val="000000"/>
          <w:sz w:val="28"/>
        </w:rPr>
        <w:t>
      7. The applicant (right holder) or his representative, by proxy, shall be sent a written notification of the sending of the international application to the International Bureau.</w:t>
      </w:r>
    </w:p>
    <w:p>
      <w:pPr>
        <w:spacing w:after="0"/>
        <w:ind w:left="0"/>
        <w:jc w:val="left"/>
      </w:pPr>
      <w:r>
        <w:rPr>
          <w:rFonts w:ascii="Times New Roman"/>
          <w:b/>
          <w:i w:val="false"/>
          <w:color w:val="000000"/>
        </w:rPr>
        <w:t xml:space="preserve"> Chapter 3. Procedure for consideration of an international application</w:t>
      </w:r>
    </w:p>
    <w:p>
      <w:pPr>
        <w:spacing w:after="0"/>
        <w:ind w:left="0"/>
        <w:jc w:val="both"/>
      </w:pPr>
      <w:r>
        <w:rPr>
          <w:rFonts w:ascii="Times New Roman"/>
          <w:b w:val="false"/>
          <w:i w:val="false"/>
          <w:color w:val="000000"/>
          <w:sz w:val="28"/>
        </w:rPr>
        <w:t>
      8. A full examination of an international application shall be carried out from the date of notification by the International Bureau of the extension of the international mark to the territory of the Republic of Kazakhstan.</w:t>
      </w:r>
    </w:p>
    <w:p>
      <w:pPr>
        <w:spacing w:after="0"/>
        <w:ind w:left="0"/>
        <w:jc w:val="both"/>
      </w:pPr>
      <w:r>
        <w:rPr>
          <w:rFonts w:ascii="Times New Roman"/>
          <w:b w:val="false"/>
          <w:i w:val="false"/>
          <w:color w:val="000000"/>
          <w:sz w:val="28"/>
        </w:rPr>
        <w:t>
      9. An expert opinion on an international application shall be drawn up in accordance with the forms approved by the International Bureau in accordance with the requirements of the Administrative Instructions on the Application of the Protocol to the Madrid Agreement, approved by the Assembly of the countries participating in the Madrid Agreement, and the Protocol to the Madrid Agreement.</w:t>
      </w:r>
    </w:p>
    <w:p>
      <w:pPr>
        <w:spacing w:after="0"/>
        <w:ind w:left="0"/>
        <w:jc w:val="both"/>
      </w:pPr>
      <w:r>
        <w:rPr>
          <w:rFonts w:ascii="Times New Roman"/>
          <w:b w:val="false"/>
          <w:i w:val="false"/>
          <w:color w:val="000000"/>
          <w:sz w:val="28"/>
        </w:rPr>
        <w:t>
      10. The examining organization shall notify the International Bureau of its decision on protection, partial protection or refusal, indicating all the reasons, not later than one year from the date on which the notification of extension of protection was sent by the International Bureau.</w:t>
      </w:r>
    </w:p>
    <w:p>
      <w:pPr>
        <w:spacing w:after="0"/>
        <w:ind w:left="0"/>
        <w:jc w:val="both"/>
      </w:pPr>
      <w:r>
        <w:rPr>
          <w:rFonts w:ascii="Times New Roman"/>
          <w:b w:val="false"/>
          <w:i w:val="false"/>
          <w:color w:val="000000"/>
          <w:sz w:val="28"/>
        </w:rPr>
        <w:t>
      11. Protection of a trademark under an international registration arises from the date of the decision. In the event of a preliminary decision on partial registration or refusal of registration - from the date of the final decision of the examination.</w:t>
      </w:r>
    </w:p>
    <w:p>
      <w:pPr>
        <w:spacing w:after="0"/>
        <w:ind w:left="0"/>
        <w:jc w:val="left"/>
      </w:pPr>
      <w:r>
        <w:rPr>
          <w:rFonts w:ascii="Times New Roman"/>
          <w:b/>
          <w:i w:val="false"/>
          <w:color w:val="000000"/>
        </w:rPr>
        <w:t xml:space="preserve"> Chapter 4. Conversion of the international registration into the national application </w:t>
      </w:r>
    </w:p>
    <w:p>
      <w:pPr>
        <w:spacing w:after="0"/>
        <w:ind w:left="0"/>
        <w:jc w:val="both"/>
      </w:pPr>
      <w:r>
        <w:rPr>
          <w:rFonts w:ascii="Times New Roman"/>
          <w:b w:val="false"/>
          <w:i w:val="false"/>
          <w:color w:val="000000"/>
          <w:sz w:val="28"/>
        </w:rPr>
        <w:t>
      12. The applicant has the right to request that the international registration be converted into a national application.</w:t>
      </w:r>
    </w:p>
    <w:p>
      <w:pPr>
        <w:spacing w:after="0"/>
        <w:ind w:left="0"/>
        <w:jc w:val="both"/>
      </w:pPr>
      <w:r>
        <w:rPr>
          <w:rFonts w:ascii="Times New Roman"/>
          <w:b w:val="false"/>
          <w:i w:val="false"/>
          <w:color w:val="000000"/>
          <w:sz w:val="28"/>
        </w:rPr>
        <w:t>
      Such a request shall be made when an international registration is canceled in whole or in part by reason of termination of protection of the basic mark.</w:t>
      </w:r>
    </w:p>
    <w:p>
      <w:pPr>
        <w:spacing w:after="0"/>
        <w:ind w:left="0"/>
        <w:jc w:val="both"/>
      </w:pPr>
      <w:r>
        <w:rPr>
          <w:rFonts w:ascii="Times New Roman"/>
          <w:b w:val="false"/>
          <w:i w:val="false"/>
          <w:color w:val="000000"/>
          <w:sz w:val="28"/>
        </w:rPr>
        <w:t>
      An application will enjoy the same priority as an international registration if the application is for the same mark and for the same goods and services, within three months from the date on which the international registration was struck from the register of the International Bureau.</w:t>
      </w:r>
    </w:p>
    <w:p>
      <w:pPr>
        <w:spacing w:after="0"/>
        <w:ind w:left="0"/>
        <w:jc w:val="both"/>
      </w:pPr>
      <w:r>
        <w:rPr>
          <w:rFonts w:ascii="Times New Roman"/>
          <w:b w:val="false"/>
          <w:i w:val="false"/>
          <w:color w:val="000000"/>
          <w:sz w:val="28"/>
        </w:rPr>
        <w:t>
      13. A request for the conversion of an international registration into a national application shall be submitted in the form in accordance with the appendix to these Rules.</w:t>
      </w:r>
    </w:p>
    <w:p>
      <w:pPr>
        <w:spacing w:after="0"/>
        <w:ind w:left="0"/>
        <w:jc w:val="both"/>
      </w:pPr>
      <w:r>
        <w:rPr>
          <w:rFonts w:ascii="Times New Roman"/>
          <w:b w:val="false"/>
          <w:i w:val="false"/>
          <w:color w:val="000000"/>
          <w:sz w:val="28"/>
        </w:rPr>
        <w:t>
      The application shall be submitted by the applicant or his/her representative by proxy, the application shall be attached with an extract from the register of the International Bureau, an application for registration of a trademark and a document confirming payment for the conversion of an international registration into a national application.</w:t>
      </w:r>
    </w:p>
    <w:p>
      <w:pPr>
        <w:spacing w:after="0"/>
        <w:ind w:left="0"/>
        <w:jc w:val="both"/>
      </w:pPr>
      <w:r>
        <w:rPr>
          <w:rFonts w:ascii="Times New Roman"/>
          <w:b w:val="false"/>
          <w:i w:val="false"/>
          <w:color w:val="000000"/>
          <w:sz w:val="28"/>
        </w:rPr>
        <w:t>
      In the absence of a document confirming payment, the expert organization issues invoices for payment.</w:t>
      </w:r>
    </w:p>
    <w:p>
      <w:pPr>
        <w:spacing w:after="0"/>
        <w:ind w:left="0"/>
        <w:jc w:val="both"/>
      </w:pPr>
      <w:r>
        <w:rPr>
          <w:rFonts w:ascii="Times New Roman"/>
          <w:b w:val="false"/>
          <w:i w:val="false"/>
          <w:color w:val="000000"/>
          <w:sz w:val="28"/>
        </w:rPr>
        <w:t>
      The payment document shall be submitted no later than one month from the date of sending the invoice for payment. If the document on payment is not submitted, the application for the transformation of the international registration into a national application is not accepted for consideration, of which the applicant or his representative by proxy is notified in writing.</w:t>
      </w:r>
    </w:p>
    <w:p>
      <w:pPr>
        <w:spacing w:after="0"/>
        <w:ind w:left="0"/>
        <w:jc w:val="both"/>
      </w:pPr>
      <w:r>
        <w:rPr>
          <w:rFonts w:ascii="Times New Roman"/>
          <w:b w:val="false"/>
          <w:i w:val="false"/>
          <w:color w:val="000000"/>
          <w:sz w:val="28"/>
        </w:rPr>
        <w:t>
      14. The applicant or his representative, by proxy, shall be sent a notification on the transformation of the international registration into a national application, which contains the designation claimed for registration as a trademark, the application number, the filing date of the application, the name of the applicant, the list of goods and services.</w:t>
      </w:r>
    </w:p>
    <w:p>
      <w:pPr>
        <w:spacing w:after="0"/>
        <w:ind w:left="0"/>
        <w:jc w:val="both"/>
      </w:pPr>
      <w:r>
        <w:rPr>
          <w:rFonts w:ascii="Times New Roman"/>
          <w:b w:val="false"/>
          <w:i w:val="false"/>
          <w:color w:val="000000"/>
          <w:sz w:val="28"/>
        </w:rPr>
        <w:t>
      15. On the basis of the notification of the transformation of the international registration into a national application, the applicant or his representative by proxy shall be sent an invoice for payment for the registration of a trademark and publication of information about the registration.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Rules for consideration </w:t>
            </w:r>
            <w:r>
              <w:br/>
            </w:r>
            <w:r>
              <w:rPr>
                <w:rFonts w:ascii="Times New Roman"/>
                <w:b w:val="false"/>
                <w:i w:val="false"/>
                <w:color w:val="000000"/>
                <w:sz w:val="20"/>
              </w:rPr>
              <w:t xml:space="preserve">of an application for an industrial </w:t>
            </w:r>
            <w:r>
              <w:br/>
            </w:r>
            <w:r>
              <w:rPr>
                <w:rFonts w:ascii="Times New Roman"/>
                <w:b w:val="false"/>
                <w:i w:val="false"/>
                <w:color w:val="000000"/>
                <w:sz w:val="20"/>
              </w:rPr>
              <w:t xml:space="preserve">property object in accordance with </w:t>
            </w:r>
            <w:r>
              <w:br/>
            </w:r>
            <w:r>
              <w:rPr>
                <w:rFonts w:ascii="Times New Roman"/>
                <w:b w:val="false"/>
                <w:i w:val="false"/>
                <w:color w:val="000000"/>
                <w:sz w:val="20"/>
              </w:rPr>
              <w:t xml:space="preserve">the Patent Cooperation Treaty </w:t>
            </w:r>
            <w:r>
              <w:br/>
            </w:r>
            <w:r>
              <w:rPr>
                <w:rFonts w:ascii="Times New Roman"/>
                <w:b w:val="false"/>
                <w:i w:val="false"/>
                <w:color w:val="000000"/>
                <w:sz w:val="20"/>
              </w:rPr>
              <w:t>and the Eurasian Patent Convention</w:t>
            </w:r>
          </w:p>
        </w:tc>
      </w:tr>
    </w:tbl>
    <w:p>
      <w:pPr>
        <w:spacing w:after="0"/>
        <w:ind w:left="0"/>
        <w:jc w:val="left"/>
      </w:pPr>
      <w:r>
        <w:rPr>
          <w:rFonts w:ascii="Times New Roman"/>
          <w:b/>
          <w:i w:val="false"/>
          <w:color w:val="000000"/>
        </w:rPr>
        <w:t xml:space="preserve"> REQUEST</w:t>
      </w:r>
      <w:r>
        <w:br/>
      </w:r>
      <w:r>
        <w:rPr>
          <w:rFonts w:ascii="Times New Roman"/>
          <w:b/>
          <w:i w:val="false"/>
          <w:color w:val="000000"/>
        </w:rPr>
        <w:t>for conversion of the international registration into the national application</w:t>
      </w:r>
    </w:p>
    <w:p>
      <w:pPr>
        <w:spacing w:after="0"/>
        <w:ind w:left="0"/>
        <w:jc w:val="both"/>
      </w:pPr>
      <w:r>
        <w:rPr>
          <w:rFonts w:ascii="Times New Roman"/>
          <w:b w:val="false"/>
          <w:i w:val="false"/>
          <w:color w:val="000000"/>
          <w:sz w:val="28"/>
        </w:rPr>
        <w:t>
      applicant: application: no. date of application:</w:t>
      </w:r>
    </w:p>
    <w:p>
      <w:pPr>
        <w:spacing w:after="0"/>
        <w:ind w:left="0"/>
        <w:jc w:val="both"/>
      </w:pPr>
      <w:r>
        <w:rPr>
          <w:rFonts w:ascii="Times New Roman"/>
          <w:b w:val="false"/>
          <w:i w:val="false"/>
          <w:color w:val="000000"/>
          <w:sz w:val="28"/>
        </w:rPr>
        <w:t>
      I kindly request that the international registration be converted into a national application, preserving the priority date, in respect of the following goods and/or services:</w:t>
      </w:r>
    </w:p>
    <w:p>
      <w:pPr>
        <w:spacing w:after="0"/>
        <w:ind w:left="0"/>
        <w:jc w:val="both"/>
      </w:pPr>
      <w:r>
        <w:rPr>
          <w:rFonts w:ascii="Times New Roman"/>
          <w:b w:val="false"/>
          <w:i w:val="false"/>
          <w:color w:val="000000"/>
          <w:sz w:val="28"/>
        </w:rPr>
        <w:t>
      Application:</w:t>
      </w:r>
    </w:p>
    <w:p>
      <w:pPr>
        <w:spacing w:after="0"/>
        <w:ind w:left="0"/>
        <w:jc w:val="both"/>
      </w:pPr>
      <w:r>
        <w:rPr>
          <w:rFonts w:ascii="Times New Roman"/>
          <w:b w:val="false"/>
          <w:i w:val="false"/>
          <w:color w:val="000000"/>
          <w:sz w:val="28"/>
        </w:rPr>
        <w:t>
      1. document confirming payment for the services of an expert organization 2. power of attorney (in case of application through a representative) 3. extract from the register of the International Bureau</w:t>
      </w:r>
    </w:p>
    <w:p>
      <w:pPr>
        <w:spacing w:after="0"/>
        <w:ind w:left="0"/>
        <w:jc w:val="both"/>
      </w:pPr>
      <w:r>
        <w:rPr>
          <w:rFonts w:ascii="Times New Roman"/>
          <w:b w:val="false"/>
          <w:i w:val="false"/>
          <w:color w:val="000000"/>
          <w:sz w:val="28"/>
        </w:rPr>
        <w:t>
      Signature surname, name patronymic (if any) Seal (if any)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