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3a5c" w14:textId="d6f3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natural norms of chemical reagents, laboratory glassware and field equipment during the monitoring and assessment of the ameliorative state of irrigated lands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December 25, 2017 No. 513. Registered with the Ministry of Justice of the Republic of Kazakhstan on January 17, 2018 No. 16243.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2 of Article 69 of the Budget Code of the Republic of Kazakhstan dated December 4, 2008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natural norms of chemical reagents, laboratory glassware and field equipment during monitoring and assessment of the ameliorative state of irrigated lands.</w:t>
      </w:r>
    </w:p>
    <w:p>
      <w:pPr>
        <w:spacing w:after="0"/>
        <w:ind w:left="0"/>
        <w:jc w:val="both"/>
      </w:pPr>
      <w:r>
        <w:rPr>
          <w:rFonts w:ascii="Times New Roman"/>
          <w:b w:val="false"/>
          <w:i w:val="false"/>
          <w:color w:val="000000"/>
          <w:sz w:val="28"/>
        </w:rPr>
        <w:t>
       2. The committee on water resources of the Ministry of Agriculture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its copy for official publication in periodicals;</w:t>
      </w:r>
    </w:p>
    <w:p>
      <w:pPr>
        <w:spacing w:after="0"/>
        <w:ind w:left="0"/>
        <w:jc w:val="both"/>
      </w:pPr>
      <w:r>
        <w:rPr>
          <w:rFonts w:ascii="Times New Roman"/>
          <w:b w:val="false"/>
          <w:i w:val="false"/>
          <w:color w:val="000000"/>
          <w:sz w:val="28"/>
        </w:rPr>
        <w:t>
       4) placement of this order on the Internet resource of the Ministry of Agriculture of the Republic of Kazakhstan;</w:t>
      </w:r>
    </w:p>
    <w:p>
      <w:pPr>
        <w:spacing w:after="0"/>
        <w:ind w:left="0"/>
        <w:jc w:val="both"/>
      </w:pPr>
      <w:r>
        <w:rPr>
          <w:rFonts w:ascii="Times New Roman"/>
          <w:b w:val="false"/>
          <w:i w:val="false"/>
          <w:color w:val="000000"/>
          <w:sz w:val="28"/>
        </w:rPr>
        <w:t>
       5) within ten working days after the state registration of this order, submission of information about implementation of measures provided for in subparagraphs 1), 2), 3) and 4) of this paragraph to the Legal department of the Ministry of Agriculture of the Republic of Kazakhstan.</w:t>
      </w:r>
    </w:p>
    <w:p>
      <w:pPr>
        <w:spacing w:after="0"/>
        <w:ind w:left="0"/>
        <w:jc w:val="both"/>
      </w:pPr>
      <w:r>
        <w:rPr>
          <w:rFonts w:ascii="Times New Roman"/>
          <w:b w:val="false"/>
          <w:i w:val="false"/>
          <w:color w:val="000000"/>
          <w:sz w:val="28"/>
        </w:rPr>
        <w:t>
       3. Control over implementation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Minister of Agriculture</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 B. Sultanov </w:t>
      </w:r>
    </w:p>
    <w:p>
      <w:pPr>
        <w:spacing w:after="0"/>
        <w:ind w:left="0"/>
        <w:jc w:val="both"/>
      </w:pPr>
      <w:r>
        <w:rPr>
          <w:rFonts w:ascii="Times New Roman"/>
          <w:b w:val="false"/>
          <w:i w:val="false"/>
          <w:color w:val="000000"/>
          <w:sz w:val="28"/>
        </w:rPr>
        <w:t>
      dated December 28,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 xml:space="preserve"> of the Deputy Prime-Minister</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2017 № 513</w:t>
            </w:r>
          </w:p>
        </w:tc>
      </w:tr>
    </w:tbl>
    <w:bookmarkStart w:name="z2" w:id="0"/>
    <w:p>
      <w:pPr>
        <w:spacing w:after="0"/>
        <w:ind w:left="0"/>
        <w:jc w:val="left"/>
      </w:pPr>
      <w:r>
        <w:rPr>
          <w:rFonts w:ascii="Times New Roman"/>
          <w:b/>
          <w:i w:val="false"/>
          <w:color w:val="000000"/>
        </w:rPr>
        <w:t xml:space="preserve"> Natural standards of chemical reagents, laboratory utensils and field equipment during monitoring and assessment of irrigated land reclamation condition</w:t>
      </w:r>
    </w:p>
    <w:bookmarkEnd w:id="0"/>
    <w:p>
      <w:pPr>
        <w:spacing w:after="0"/>
        <w:ind w:left="0"/>
        <w:jc w:val="both"/>
      </w:pPr>
      <w:r>
        <w:rPr>
          <w:rFonts w:ascii="Times New Roman"/>
          <w:b w:val="false"/>
          <w:i w:val="false"/>
          <w:color w:val="ff0000"/>
          <w:sz w:val="28"/>
        </w:rPr>
        <w:t>
      Footnote. Natural standards- in the wording of the order of the Minister of Agriculture of the Republic of Kazakhstan dated 21.01.2021  № 18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843"/>
        <w:gridCol w:w="1529"/>
        <w:gridCol w:w="2"/>
        <w:gridCol w:w="1368"/>
        <w:gridCol w:w="454"/>
        <w:gridCol w:w="454"/>
        <w:gridCol w:w="1"/>
        <w:gridCol w:w="1813"/>
        <w:gridCol w:w="621"/>
        <w:gridCol w:w="1900"/>
        <w:gridCol w:w="6"/>
        <w:gridCol w:w="2082"/>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standard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in quantitative 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area</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specifying the definition and application of natural standards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Standards of chemical reagents for 1 abbreviated chemical analysis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Laboratory analysis of groundwater</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Chloride of ammonia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Institution "Zone Hydrogeological and Reclamation Center" of the Ministry of Agriculture of the Republic of Kazakhstan (hereinafter referred to as  ZHGRC) Republican State Institution "South Kazakhstan Hydrogeological and Reclamation Expedition" of the Ministry of Agriculture of the Republic of Kazakhstan (hereinafter referred to as SKHGRE)</w:t>
            </w:r>
            <w:r>
              <w:br/>
            </w:r>
            <w:r>
              <w:rPr>
                <w:rFonts w:ascii="Times New Roman"/>
                <w:b w:val="false"/>
                <w:i w:val="false"/>
                <w:color w:val="000000"/>
                <w:sz w:val="20"/>
              </w:rPr>
              <w:t>
Republican State Institution "Kyzylorda Hydrogeological and Reclamation Expedition" of the Ministry of Agriculture of the Republic of Kazakhstan (hereinafter referred to as KHGRE)</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 aqueous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 packing 1 liter (hereinafter referred to as l), ammonium hydroxide, synthetic alcohol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 free of silver ions for silver chloride electrode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kilograms (hereinafter referred to as kg)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r>
              <w:br/>
            </w: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sulphates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w:t>
            </w:r>
            <w:r>
              <w:br/>
            </w:r>
            <w:r>
              <w:rPr>
                <w:rFonts w:ascii="Times New Roman"/>
                <w:b w:val="false"/>
                <w:i w:val="false"/>
                <w:color w:val="000000"/>
                <w:sz w:val="20"/>
              </w:rPr>
              <w:t>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w:t>
            </w:r>
            <w:r>
              <w:br/>
            </w:r>
            <w:r>
              <w:rPr>
                <w:rFonts w:ascii="Times New Roman"/>
                <w:b w:val="false"/>
                <w:i w:val="false"/>
                <w:color w:val="000000"/>
                <w:sz w:val="20"/>
              </w:rPr>
              <w:t>
(r = 1,180 …1,185)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(r=1,75)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ЕТ-00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Laboratory analysis of surface water</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 packing 1 l ammonium hydroxide, butter alcohol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 free of silver ions for silver chloride electrode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sulphates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 (r = 1.180... 1.185)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 = 1.75)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0, 06 0, 06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ЕТ-00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3. Laboratory analysis of soil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 aqueous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w:t>
            </w:r>
            <w:r>
              <w:br/>
            </w:r>
            <w:r>
              <w:rPr>
                <w:rFonts w:ascii="Times New Roman"/>
                <w:b w:val="false"/>
                <w:i w:val="false"/>
                <w:color w:val="000000"/>
                <w:sz w:val="20"/>
              </w:rPr>
              <w:t>
packing 1 ammonium hydroxide, saturated alcohol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 free of silver ions for silver chloride electrode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 (r = 1.180... 1.185)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 = 1.75)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ET-00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Standards of laboratory utensils for laboratory tests per 1000 conditional tests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collect distilled water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plastic lid, volume 50,000 milliliters (hereinafter referred to as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Burette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titration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division, 25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В-100-150-ХС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100 millimeters (hereinafter referred to as mm), total height 150 mm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V-100-200-KhS</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100 mm in, total height 200 mm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В-150-230-ХС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150 mm, total height 230 mm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dividing, VD-3-500-KhS</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cleaning from various substances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500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pear,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and safe dosing of liquid media</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soft tip, 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pear,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and safe dosing of liquid media</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with soft tip, 100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flask, 250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mixing and reaction between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a long throat, 250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flask, 500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mixing and reaction between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a long throat, 500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100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250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250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mug</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and mixing of acidic, alkaline and neutral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with spout, 500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stick</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mixing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diameter 7 mm, length 300 mm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5 ml, fission price 0.1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10 ml, fission price 0.1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25 ml, fission price 0.2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100 ml, without division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В-1-50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V-1-100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high, with spout and with one mark, 100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B-1-250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250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Н-1-1000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high, with spout and with one mark, 1000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В-1-2000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2000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Mortar with pestle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grinding and thorough mixing of solids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500 ml, pestle length 14 centimeters (hereinafter referred to as sm),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3-50-2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three-dimensional with spout, 50 ml, 2nd class accuracy</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3-100-2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three-dimensional with spout, 100 ml, 2nd class accuracy</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3-250-2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3-D with spout, 250 ml, 2nd class precision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1-500-2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one-dimensional with spout, 500 ml, 2nd class accuracy</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1-1000-2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one-dimensional with spout, 1000 ml, 2nd class accuracy</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bottle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laboratory utensils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glass nozzle, capacity 250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dosing indicators and other solutions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pipette, 20 ml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Desalted “White ribbon” filter</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separation of coarse precipitation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diameter 18sm, medium filtration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Desalted filter "Blue ribbon"</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separation of fine sediment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diameter 18sm, slow filtration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paper</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filtration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Section 3. Position standards of field equipment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Common use (for 1 field brigade)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 for 4 people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protection against adverse weather conditions, temporary accommodation of workers in the field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waterproof with anti-mosquito filter, frame of dismountable alloy tubes, tent dimensions at least 220 * 285 * 235sm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folding furniture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and 4 chairs made of low-melting material, disassembled in the case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stove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cooking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confluent, complete with 5 l gas cylinder, field</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Roulette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measurements of linear dimensions of objects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tape, with a division price of 1 cm, on the drum, with a handle up to 30 meters long (hereinafter referred to as 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Flashlight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lighting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battery, moisture-resistant, LED, type of charge from the network</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Soldering lamp</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nozzle type lamp, thermal power within 0.5-3 kilowatts, with fuel supply adjustment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Kettle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field with handle, volume up to 5 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board</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size 40x25sm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Knife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with plastic handle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of food or water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portable, up to 5 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Kettle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heating and boiling of water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with handle, volume up to 3 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cooking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with handles, volume 5 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Bayonet shovel</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excavation plans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hardened metal ladle coated with matte paint, dimensions 280 x 220 mm, ergonomic cuttings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Scoop shovel</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handling loose materials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hardened metal ladle coated with matte paint, dimensions 280 x 230 mm, ergonomic cuttings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metal blade rigidly fixed on a wooden or plastic handle, walking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deep or chemical fibers, up to 10 m long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Galvanized bucket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galvanized, volume up to 12 liters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bucket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with lid, volume up to 12 liters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first aid kit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first aid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medicines for first aid, in a plastic case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Individual use (per employee's 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folding bed</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framework of strong alloy pipe, maximum load up to 90 kg, weight up to 5.5 kg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linen</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dimensions: blanket - 160 * 220 cm, sheet - 180 * 260 cm, pillowcase - 70 * 70 cm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bag</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filler double-layer, length up to 230 cm, weight up to 2.5 kg</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carry various loads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 "back," raincoat, volume up to 70 liters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hygienic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rustic towel , 120x60 sm</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storage of drinking water</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camping, volume up to 2 liters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0,5 l</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Spoon-fork</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