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7ea" w14:textId="8a47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per capita standard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November 27, 2017 № 597. Registered with the Ministry of Justice of the Republic of Kazakhstan on December 27, 2017 № 16137.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97) of part one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per capita standard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orders shall be declared to be no longer in force:</w:t>
      </w:r>
    </w:p>
    <w:p>
      <w:pPr>
        <w:spacing w:after="0"/>
        <w:ind w:left="0"/>
        <w:jc w:val="both"/>
      </w:pPr>
      <w:r>
        <w:rPr>
          <w:rFonts w:ascii="Times New Roman"/>
          <w:b w:val="false"/>
          <w:i w:val="false"/>
          <w:color w:val="000000"/>
          <w:sz w:val="28"/>
        </w:rPr>
        <w:t>
      1) Order № 440 of the Minister of Education and Science of the Republic of Kazakhstan dated October 30, 2013 "On Approval of the Methodology for Per Capita Regulatory Financing of Secondary Education" (registered in the Register of State Registration of Regulatory Legal Acts under № 8885, published in Kazakhstanskaya Pravda newspaper in № 339 (27613)of December 19, 2013);</w:t>
      </w:r>
    </w:p>
    <w:p>
      <w:pPr>
        <w:spacing w:after="0"/>
        <w:ind w:left="0"/>
        <w:jc w:val="both"/>
      </w:pPr>
      <w:r>
        <w:rPr>
          <w:rFonts w:ascii="Times New Roman"/>
          <w:b w:val="false"/>
          <w:i w:val="false"/>
          <w:color w:val="000000"/>
          <w:sz w:val="28"/>
        </w:rPr>
        <w:t>
      2) Order № 520 of the Acting Minister of Education and Science of the Republic of Kazakhstan dated August 25, 2016 “On Amending Order № 440 of the Minister of Education and Science of the Republic of Kazakhstan dated October 30, 2013 “On Approval of the Methodology for Per Capita Regulatory Financing of Secondary Education” (registered in the Register of State Registration of Regulatory Legal Acts under № 14254, published in "Adilet", the legal information system on October 10, 2016).</w:t>
      </w:r>
    </w:p>
    <w:p>
      <w:pPr>
        <w:spacing w:after="0"/>
        <w:ind w:left="0"/>
        <w:jc w:val="both"/>
      </w:pPr>
      <w:r>
        <w:rPr>
          <w:rFonts w:ascii="Times New Roman"/>
          <w:b w:val="false"/>
          <w:i w:val="false"/>
          <w:color w:val="000000"/>
          <w:sz w:val="28"/>
        </w:rPr>
        <w:t>
      3. In the manner prescribed by the law, the Department of Budget Planning of the Ministry of Education and Science of the Republic of Kazakhstan (Dzhakipova S.A.)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hardcopy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information on the implementation of measures, provided for in subparagraphs 1), 2), 3) and 4) of this paragraph to the Department of Legal Service and International Cooperation of the Ministry of Education and Science of the Republic of Kazakhstan.</w:t>
      </w:r>
    </w:p>
    <w:p>
      <w:pPr>
        <w:spacing w:after="0"/>
        <w:ind w:left="0"/>
        <w:jc w:val="both"/>
      </w:pPr>
      <w:r>
        <w:rPr>
          <w:rFonts w:ascii="Times New Roman"/>
          <w:b w:val="false"/>
          <w:i w:val="false"/>
          <w:color w:val="000000"/>
          <w:sz w:val="28"/>
        </w:rPr>
        <w:t>
      4. Control over the implementation of this Order shall be entrusted to Vice-Minister of Education and Science of the Republic of Kazakhstan B.A. Assylov.</w:t>
      </w:r>
    </w:p>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B. Sultanov</w:t>
      </w:r>
    </w:p>
    <w:p>
      <w:pPr>
        <w:spacing w:after="0"/>
        <w:ind w:left="0"/>
        <w:jc w:val="both"/>
      </w:pPr>
      <w:r>
        <w:rPr>
          <w:rFonts w:ascii="Times New Roman"/>
          <w:b w:val="false"/>
          <w:i w:val="false"/>
          <w:color w:val="000000"/>
          <w:sz w:val="28"/>
        </w:rPr>
        <w:t>December 12,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T. Suleimenov</w:t>
      </w:r>
    </w:p>
    <w:p>
      <w:pPr>
        <w:spacing w:after="0"/>
        <w:ind w:left="0"/>
        <w:jc w:val="both"/>
      </w:pPr>
      <w:r>
        <w:rPr>
          <w:rFonts w:ascii="Times New Roman"/>
          <w:b w:val="false"/>
          <w:i w:val="false"/>
          <w:color w:val="000000"/>
          <w:sz w:val="28"/>
        </w:rPr>
        <w:t>December 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Education</w:t>
            </w:r>
            <w:r>
              <w:br/>
            </w:r>
            <w:r>
              <w:rPr>
                <w:rFonts w:ascii="Times New Roman"/>
                <w:b w:val="false"/>
                <w:i w:val="false"/>
                <w:color w:val="000000"/>
                <w:sz w:val="20"/>
              </w:rPr>
              <w:t>and science of the</w:t>
            </w:r>
            <w:r>
              <w:br/>
            </w:r>
            <w:r>
              <w:rPr>
                <w:rFonts w:ascii="Times New Roman"/>
                <w:b w:val="false"/>
                <w:i w:val="false"/>
                <w:color w:val="000000"/>
                <w:sz w:val="20"/>
              </w:rPr>
              <w:t>Republic of Kazakhstan</w:t>
            </w:r>
            <w:r>
              <w:br/>
            </w:r>
            <w:r>
              <w:rPr>
                <w:rFonts w:ascii="Times New Roman"/>
                <w:b w:val="false"/>
                <w:i w:val="false"/>
                <w:color w:val="000000"/>
                <w:sz w:val="20"/>
              </w:rPr>
              <w:t>dated November 27, 2017 № 597</w:t>
            </w:r>
          </w:p>
        </w:tc>
      </w:tr>
    </w:tbl>
    <w:p>
      <w:pPr>
        <w:spacing w:after="0"/>
        <w:ind w:left="0"/>
        <w:jc w:val="left"/>
      </w:pPr>
      <w:r>
        <w:rPr>
          <w:rFonts w:ascii="Times New Roman"/>
          <w:b/>
          <w:i w:val="false"/>
          <w:color w:val="000000"/>
        </w:rPr>
        <w:t xml:space="preserve"> Methodology for per capita standard financing of preschool education and training, secondary education, as well as technical and vocational, post-secondary education, taking into account credit technology of education</w:t>
      </w:r>
    </w:p>
    <w:p>
      <w:pPr>
        <w:spacing w:after="0"/>
        <w:ind w:left="0"/>
        <w:jc w:val="both"/>
      </w:pPr>
      <w:r>
        <w:rPr>
          <w:rFonts w:ascii="Times New Roman"/>
          <w:b w:val="false"/>
          <w:i w:val="false"/>
          <w:color w:val="ff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Footnote. Methodology as amended by the order of Acting Minister of Education and Science of the Republic of Kazakhstan dated 20.10.2020 № 452 (shall be enforced upon expiry of ten calendar days after the day of its first official publication).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This Methodology for per capita standard financing of preschool education and training, secondary education, as well as technical and vocational, post-secondary education, taking into account credit technology of education (hereinafter - the Methodology) has been developed in accordance with subparagraph 97) of part one of Article 5 of the Law of the Republic of Kazakhstan “On Education” "(hereinafter - the Law), shall determine a unified approach when calculating the per capita standard for financing preschool education and training, secondary education, as well as technical and vocational, post-secondary education, taking into account credit technology of education and shall be used to plan the volume of per capita standard financing of educational organizations and the volume of state educational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Methodology uses the following concepts: </w:t>
      </w:r>
    </w:p>
    <w:p>
      <w:pPr>
        <w:spacing w:after="0"/>
        <w:ind w:left="0"/>
        <w:jc w:val="both"/>
      </w:pPr>
      <w:r>
        <w:rPr>
          <w:rFonts w:ascii="Times New Roman"/>
          <w:b w:val="false"/>
          <w:i w:val="false"/>
          <w:color w:val="000000"/>
          <w:sz w:val="28"/>
        </w:rPr>
        <w:t>
      1) an academic credit – a unified unit of measurement of the volume of scientific and (or) educational work (workload) of a student and (or) teacher (educator), necessary to achieve the learning outcomes of an educational program;</w:t>
      </w:r>
    </w:p>
    <w:p>
      <w:pPr>
        <w:spacing w:after="0"/>
        <w:ind w:left="0"/>
        <w:jc w:val="both"/>
      </w:pPr>
      <w:r>
        <w:rPr>
          <w:rFonts w:ascii="Times New Roman"/>
          <w:b w:val="false"/>
          <w:i w:val="false"/>
          <w:color w:val="000000"/>
          <w:sz w:val="28"/>
        </w:rPr>
        <w:t xml:space="preserve">
      2) educational environment - a set of social, material, living conditions necessary to ensure the implementation of the educational process; </w:t>
      </w:r>
    </w:p>
    <w:p>
      <w:pPr>
        <w:spacing w:after="0"/>
        <w:ind w:left="0"/>
        <w:jc w:val="both"/>
      </w:pPr>
      <w:r>
        <w:rPr>
          <w:rFonts w:ascii="Times New Roman"/>
          <w:b w:val="false"/>
          <w:i w:val="false"/>
          <w:color w:val="000000"/>
          <w:sz w:val="28"/>
        </w:rPr>
        <w:t>
      3) educational process - educational process within the framework of the implementation of general educational curricula of primary, basic secondary, general secondary education, technical and vocational, post-secondary education;</w:t>
      </w:r>
    </w:p>
    <w:p>
      <w:pPr>
        <w:spacing w:after="0"/>
        <w:ind w:left="0"/>
        <w:jc w:val="both"/>
      </w:pPr>
      <w:r>
        <w:rPr>
          <w:rFonts w:ascii="Times New Roman"/>
          <w:b w:val="false"/>
          <w:i w:val="false"/>
          <w:color w:val="000000"/>
          <w:sz w:val="28"/>
        </w:rPr>
        <w:t>
      4) standard cost of one academic loan - the ratio of the per capita standard for financing per student for the full term of study, depending on the profile of education in organizations of technical, vocational, post-secondary education to the total labor intensity of the educational program in academic loans;</w:t>
      </w:r>
    </w:p>
    <w:p>
      <w:pPr>
        <w:spacing w:after="0"/>
        <w:ind w:left="0"/>
        <w:jc w:val="both"/>
      </w:pPr>
      <w:r>
        <w:rPr>
          <w:rFonts w:ascii="Times New Roman"/>
          <w:b w:val="false"/>
          <w:i w:val="false"/>
          <w:color w:val="000000"/>
          <w:sz w:val="28"/>
        </w:rPr>
        <w:t xml:space="preserve">
      5) per capita normative financing rate - the rate of financial provision of the guaranteed state tuition fees at all levels of education; </w:t>
      </w:r>
    </w:p>
    <w:p>
      <w:pPr>
        <w:spacing w:after="0"/>
        <w:ind w:left="0"/>
        <w:jc w:val="both"/>
      </w:pPr>
      <w:r>
        <w:rPr>
          <w:rFonts w:ascii="Times New Roman"/>
          <w:b w:val="false"/>
          <w:i w:val="false"/>
          <w:color w:val="000000"/>
          <w:sz w:val="28"/>
        </w:rPr>
        <w:t xml:space="preserve">
      6) the volume of per capita normative financing - financing of the costs of the educational process and the educational environment, determined based on the per capita normative financing;  </w:t>
      </w:r>
    </w:p>
    <w:p>
      <w:pPr>
        <w:spacing w:after="0"/>
        <w:ind w:left="0"/>
        <w:jc w:val="both"/>
      </w:pPr>
      <w:r>
        <w:rPr>
          <w:rFonts w:ascii="Times New Roman"/>
          <w:b w:val="false"/>
          <w:i w:val="false"/>
          <w:color w:val="000000"/>
          <w:sz w:val="28"/>
        </w:rPr>
        <w:t xml:space="preserve">
      7) credit technology of education - training based on the choice and self-planning by the student of the sequence of studying disciplines with the accumulation of academic 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Education and Science of the Republic of Kazakhstan dated 24.03.2022 № 104 (shall enter into force upon expiry of ten calendar days after the day of its first official publication); dated 05.07.2023 № 197 (shall be enforced upon expiry of ten calendar days after the day of its first official publication); dated 22.05.2024 № 115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calculating the per capita standard for financing preschool education and training, secondary education, as well as technical and vocational, post-secondary education, taking into account credit technology of education, the following general indicators shall be used:  </w:t>
      </w:r>
    </w:p>
    <w:p>
      <w:pPr>
        <w:spacing w:after="0"/>
        <w:ind w:left="0"/>
        <w:jc w:val="both"/>
      </w:pPr>
      <w:r>
        <w:rPr>
          <w:rFonts w:ascii="Times New Roman"/>
          <w:b w:val="false"/>
          <w:i w:val="false"/>
          <w:color w:val="000000"/>
          <w:sz w:val="28"/>
        </w:rPr>
        <w:t>
      1) the basic official salary (hereinafter - BOS), established by the decree of the Government of the Republic of Kazakhstan dated December 31, 2015 № 1193 "On the system of remuneration of civil servants, employees of organizations supported by the state budget, employees of state enterprises";</w:t>
      </w:r>
    </w:p>
    <w:p>
      <w:pPr>
        <w:spacing w:after="0"/>
        <w:ind w:left="0"/>
        <w:jc w:val="both"/>
      </w:pPr>
      <w:r>
        <w:rPr>
          <w:rFonts w:ascii="Times New Roman"/>
          <w:b w:val="false"/>
          <w:i w:val="false"/>
          <w:color w:val="000000"/>
          <w:sz w:val="28"/>
        </w:rPr>
        <w:t>
      2) monthly calculation index (hereinafter - MCI), established by the law on the republican budget for the corresponding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Algorithm for calculating per capita normative financing of preschool education and training </w:t>
      </w:r>
    </w:p>
    <w:p>
      <w:pPr>
        <w:spacing w:after="0"/>
        <w:ind w:left="0"/>
        <w:jc w:val="both"/>
      </w:pPr>
      <w:r>
        <w:rPr>
          <w:rFonts w:ascii="Times New Roman"/>
          <w:b w:val="false"/>
          <w:i w:val="false"/>
          <w:color w:val="000000"/>
          <w:sz w:val="28"/>
        </w:rPr>
        <w:t>
      4. Calculation of the volume of per capita standard financing of preschool education and training (hereinafter- PE&amp;T) and the per capita standard for financing shall be carried out using the following formulas:</w:t>
      </w:r>
    </w:p>
    <w:p>
      <w:pPr>
        <w:spacing w:after="0"/>
        <w:ind w:left="0"/>
        <w:jc w:val="both"/>
      </w:pPr>
      <w:r>
        <w:rPr>
          <w:rFonts w:ascii="Times New Roman"/>
          <w:b w:val="false"/>
          <w:i w:val="false"/>
          <w:color w:val="000000"/>
          <w:sz w:val="28"/>
        </w:rPr>
        <w:t>
      1) Vpf – the volume of per capita standard financing of PE&amp;T, calculated by the formula:</w:t>
      </w:r>
    </w:p>
    <w:p>
      <w:pPr>
        <w:spacing w:after="0"/>
        <w:ind w:left="0"/>
        <w:jc w:val="both"/>
      </w:pPr>
      <w:r>
        <w:rPr>
          <w:rFonts w:ascii="Times New Roman"/>
          <w:b w:val="false"/>
          <w:i w:val="false"/>
          <w:color w:val="000000"/>
          <w:sz w:val="28"/>
        </w:rPr>
        <w:t>
      Vпф = ∑(Nz * Kontz),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KONTz – the actual monthly contingent of pupils (but not exceeding the design capacity); </w:t>
      </w:r>
    </w:p>
    <w:p>
      <w:pPr>
        <w:spacing w:after="0"/>
        <w:ind w:left="0"/>
        <w:jc w:val="both"/>
      </w:pPr>
      <w:r>
        <w:rPr>
          <w:rFonts w:ascii="Times New Roman"/>
          <w:b w:val="false"/>
          <w:i w:val="false"/>
          <w:color w:val="000000"/>
          <w:sz w:val="28"/>
        </w:rPr>
        <w:t>
      z – index by purpose groups (general purpose groups, correctional children’s groups, groups for children with tuberculosis, allergic diseases, diabetes mellitus, weakened and frequently ill children).</w:t>
      </w:r>
    </w:p>
    <w:p>
      <w:pPr>
        <w:spacing w:after="0"/>
        <w:ind w:left="0"/>
        <w:jc w:val="both"/>
      </w:pPr>
      <w:r>
        <w:rPr>
          <w:rFonts w:ascii="Times New Roman"/>
          <w:b w:val="false"/>
          <w:i w:val="false"/>
          <w:color w:val="000000"/>
          <w:sz w:val="28"/>
        </w:rPr>
        <w:t>
      If there are several types of preschool groups in one PE&amp;T organization, the amount of per capita standard financing shall be determined in total, based on the per capita standard per pupil by group of purpose and type of educational programs;</w:t>
      </w:r>
    </w:p>
    <w:p>
      <w:pPr>
        <w:spacing w:after="0"/>
        <w:ind w:left="0"/>
        <w:jc w:val="both"/>
      </w:pPr>
      <w:r>
        <w:rPr>
          <w:rFonts w:ascii="Times New Roman"/>
          <w:b w:val="false"/>
          <w:i w:val="false"/>
          <w:color w:val="000000"/>
          <w:sz w:val="28"/>
        </w:rPr>
        <w:t>
      2) Nz – per capita standard of financing per pupil per month shall be calculated using the following formula:</w:t>
      </w:r>
    </w:p>
    <w:p>
      <w:pPr>
        <w:spacing w:after="0"/>
        <w:ind w:left="0"/>
        <w:jc w:val="both"/>
      </w:pPr>
      <w:r>
        <w:rPr>
          <w:rFonts w:ascii="Times New Roman"/>
          <w:b w:val="false"/>
          <w:i w:val="false"/>
          <w:color w:val="000000"/>
          <w:sz w:val="28"/>
        </w:rPr>
        <w:t xml:space="preserve">
      Nz = Еz + L,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Ez – the rate of expenditures of the educational process per pupil per month;</w:t>
      </w:r>
    </w:p>
    <w:p>
      <w:pPr>
        <w:spacing w:after="0"/>
        <w:ind w:left="0"/>
        <w:jc w:val="both"/>
      </w:pPr>
      <w:r>
        <w:rPr>
          <w:rFonts w:ascii="Times New Roman"/>
          <w:b w:val="false"/>
          <w:i w:val="false"/>
          <w:color w:val="000000"/>
          <w:sz w:val="28"/>
        </w:rPr>
        <w:t>
      L – the rate of expenditures of the educational environment per pupil per month;</w:t>
      </w:r>
    </w:p>
    <w:p>
      <w:pPr>
        <w:spacing w:after="0"/>
        <w:ind w:left="0"/>
        <w:jc w:val="both"/>
      </w:pPr>
      <w:r>
        <w:rPr>
          <w:rFonts w:ascii="Times New Roman"/>
          <w:b w:val="false"/>
          <w:i w:val="false"/>
          <w:color w:val="000000"/>
          <w:sz w:val="28"/>
        </w:rPr>
        <w:t>
      3) Ez – the rate of expenditures of the educational process by purpose groups per pupil per month shall be calculated according to the following formula:</w:t>
      </w:r>
    </w:p>
    <w:p>
      <w:pPr>
        <w:spacing w:after="0"/>
        <w:ind w:left="0"/>
        <w:jc w:val="both"/>
      </w:pPr>
      <w:r>
        <w:rPr>
          <w:rFonts w:ascii="Times New Roman"/>
          <w:b w:val="false"/>
          <w:i w:val="false"/>
          <w:color w:val="000000"/>
          <w:sz w:val="28"/>
        </w:rPr>
        <w:t xml:space="preserve">
      Ez = T + X,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monthly salary fund for management personnel and teachers involved in the educational process, per student per month;</w:t>
      </w:r>
    </w:p>
    <w:p>
      <w:pPr>
        <w:spacing w:after="0"/>
        <w:ind w:left="0"/>
        <w:jc w:val="both"/>
      </w:pPr>
      <w:r>
        <w:rPr>
          <w:rFonts w:ascii="Times New Roman"/>
          <w:b w:val="false"/>
          <w:i w:val="false"/>
          <w:color w:val="000000"/>
          <w:sz w:val="28"/>
        </w:rPr>
        <w:t xml:space="preserve">
      X – educational expenses associated with the educational process, per student per month, amount to 0.3 MCI; </w:t>
      </w:r>
    </w:p>
    <w:p>
      <w:pPr>
        <w:spacing w:after="0"/>
        <w:ind w:left="0"/>
        <w:jc w:val="both"/>
      </w:pPr>
      <w:r>
        <w:rPr>
          <w:rFonts w:ascii="Times New Roman"/>
          <w:b w:val="false"/>
          <w:i w:val="false"/>
          <w:color w:val="000000"/>
          <w:sz w:val="28"/>
        </w:rPr>
        <w:t>
      4) T is calculated using the following formula:</w:t>
      </w:r>
    </w:p>
    <w:p>
      <w:pPr>
        <w:spacing w:after="0"/>
        <w:ind w:left="0"/>
        <w:jc w:val="both"/>
      </w:pPr>
      <w:r>
        <w:rPr>
          <w:rFonts w:ascii="Times New Roman"/>
          <w:b w:val="false"/>
          <w:i w:val="false"/>
          <w:color w:val="000000"/>
          <w:sz w:val="28"/>
        </w:rPr>
        <w:t>
      T = Tbas. + Tcomp.,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Tbas. = (W + ((OS * kp + BOS * f) * (e+r))) * sno * mp * mv;</w:t>
      </w:r>
    </w:p>
    <w:p>
      <w:pPr>
        <w:spacing w:after="0"/>
        <w:ind w:left="0"/>
        <w:jc w:val="both"/>
      </w:pPr>
      <w:r>
        <w:rPr>
          <w:rFonts w:ascii="Times New Roman"/>
          <w:b w:val="false"/>
          <w:i w:val="false"/>
          <w:color w:val="000000"/>
          <w:sz w:val="28"/>
        </w:rPr>
        <w:t>
      Tcomp. = (((OS * kp + BOS * f) * ks + Ecomp1) * mv) / 12;</w:t>
      </w:r>
    </w:p>
    <w:p>
      <w:pPr>
        <w:spacing w:after="0"/>
        <w:ind w:left="0"/>
        <w:jc w:val="both"/>
      </w:pPr>
      <w:r>
        <w:rPr>
          <w:rFonts w:ascii="Times New Roman"/>
          <w:b w:val="false"/>
          <w:i w:val="false"/>
          <w:color w:val="000000"/>
          <w:sz w:val="28"/>
        </w:rPr>
        <w:t>
      Tbas. – monthly salary fund for management personnel and teachers involved in the educational process, excluding compensation payments;</w:t>
      </w:r>
    </w:p>
    <w:p>
      <w:pPr>
        <w:spacing w:after="0"/>
        <w:ind w:left="0"/>
        <w:jc w:val="both"/>
      </w:pPr>
      <w:r>
        <w:rPr>
          <w:rFonts w:ascii="Times New Roman"/>
          <w:b w:val="false"/>
          <w:i w:val="false"/>
          <w:color w:val="000000"/>
          <w:sz w:val="28"/>
        </w:rPr>
        <w:t>
      Tcomp. – the monthly amount of expenses for the payment of benefits for health improvement to the annual paid leave of employees;</w:t>
      </w:r>
    </w:p>
    <w:p>
      <w:pPr>
        <w:spacing w:after="0"/>
        <w:ind w:left="0"/>
        <w:jc w:val="both"/>
      </w:pPr>
      <w:r>
        <w:rPr>
          <w:rFonts w:ascii="Times New Roman"/>
          <w:b w:val="false"/>
          <w:i w:val="false"/>
          <w:color w:val="000000"/>
          <w:sz w:val="28"/>
        </w:rPr>
        <w:t xml:space="preserve">
      W – salary fund for teachers per month; </w:t>
      </w:r>
    </w:p>
    <w:p>
      <w:pPr>
        <w:spacing w:after="0"/>
        <w:ind w:left="0"/>
        <w:jc w:val="both"/>
      </w:pPr>
      <w:r>
        <w:rPr>
          <w:rFonts w:ascii="Times New Roman"/>
          <w:b w:val="false"/>
          <w:i w:val="false"/>
          <w:color w:val="000000"/>
          <w:sz w:val="28"/>
        </w:rPr>
        <w:t>
      kр – adjustment coefficient to the established amount of official salary, for 2023 and subsequent years – 2.6;</w:t>
      </w:r>
    </w:p>
    <w:p>
      <w:pPr>
        <w:spacing w:after="0"/>
        <w:ind w:left="0"/>
        <w:jc w:val="both"/>
      </w:pPr>
      <w:r>
        <w:rPr>
          <w:rFonts w:ascii="Times New Roman"/>
          <w:b w:val="false"/>
          <w:i w:val="false"/>
          <w:color w:val="000000"/>
          <w:sz w:val="28"/>
        </w:rPr>
        <w:t>
      e – coefficient of additional payment of annual additional paid leave for living in environmental disaster zones in accordance with the Law of the Republic of Kazakhstan “On social protection of citizens affected by environmental disasters in the Aral Sea region” (hereinafter - the Law on the protection of victims due to ecological disasters) – 0.025.</w:t>
      </w:r>
    </w:p>
    <w:p>
      <w:pPr>
        <w:spacing w:after="0"/>
        <w:ind w:left="0"/>
        <w:jc w:val="both"/>
      </w:pPr>
      <w:r>
        <w:rPr>
          <w:rFonts w:ascii="Times New Roman"/>
          <w:b w:val="false"/>
          <w:i w:val="false"/>
          <w:color w:val="000000"/>
          <w:sz w:val="28"/>
        </w:rPr>
        <w:t xml:space="preserve">
      If this additional payment is not provided for by the Law on the protection of victims of ecological disasters, then e equals 0; </w:t>
      </w:r>
    </w:p>
    <w:p>
      <w:pPr>
        <w:spacing w:after="0"/>
        <w:ind w:left="0"/>
        <w:jc w:val="both"/>
      </w:pPr>
      <w:r>
        <w:rPr>
          <w:rFonts w:ascii="Times New Roman"/>
          <w:b w:val="false"/>
          <w:i w:val="false"/>
          <w:color w:val="000000"/>
          <w:sz w:val="28"/>
        </w:rPr>
        <w:t>
      r – coefficient of additional payment of annual additional paid leave for living in radiation risk zones in accordance with the Law of the Republic of Kazakhstan “On social protection of citizens affected by nuclear tests at the Semipalatinsk nuclear test site” (hereinafter - the Law on the protection of victims at the nuclear test site) – 0.028.</w:t>
      </w:r>
    </w:p>
    <w:p>
      <w:pPr>
        <w:spacing w:after="0"/>
        <w:ind w:left="0"/>
        <w:jc w:val="both"/>
      </w:pPr>
      <w:r>
        <w:rPr>
          <w:rFonts w:ascii="Times New Roman"/>
          <w:b w:val="false"/>
          <w:i w:val="false"/>
          <w:color w:val="000000"/>
          <w:sz w:val="28"/>
        </w:rPr>
        <w:t>
      If this additional payment is not provided for by the Law on the protection of victims at a nuclear test site, then r equals 0;</w:t>
      </w:r>
    </w:p>
    <w:p>
      <w:pPr>
        <w:spacing w:after="0"/>
        <w:ind w:left="0"/>
        <w:jc w:val="both"/>
      </w:pPr>
      <w:r>
        <w:rPr>
          <w:rFonts w:ascii="Times New Roman"/>
          <w:b w:val="false"/>
          <w:i w:val="false"/>
          <w:color w:val="000000"/>
          <w:sz w:val="28"/>
        </w:rPr>
        <w:t>
      sno – coefficient of social tax and social contributions:</w:t>
      </w:r>
    </w:p>
    <w:p>
      <w:pPr>
        <w:spacing w:after="0"/>
        <w:ind w:left="0"/>
        <w:jc w:val="both"/>
      </w:pPr>
      <w:r>
        <w:rPr>
          <w:rFonts w:ascii="Times New Roman"/>
          <w:b w:val="false"/>
          <w:i w:val="false"/>
          <w:color w:val="000000"/>
          <w:sz w:val="28"/>
        </w:rPr>
        <w:t>
      for 2023 and 2024 – 1.0836;</w:t>
      </w:r>
    </w:p>
    <w:p>
      <w:pPr>
        <w:spacing w:after="0"/>
        <w:ind w:left="0"/>
        <w:jc w:val="both"/>
      </w:pPr>
      <w:r>
        <w:rPr>
          <w:rFonts w:ascii="Times New Roman"/>
          <w:b w:val="false"/>
          <w:i w:val="false"/>
          <w:color w:val="000000"/>
          <w:sz w:val="28"/>
        </w:rPr>
        <w:t>
      for 2025 and subsequent years – 1.0968;</w:t>
      </w:r>
    </w:p>
    <w:p>
      <w:pPr>
        <w:spacing w:after="0"/>
        <w:ind w:left="0"/>
        <w:jc w:val="both"/>
      </w:pPr>
      <w:r>
        <w:rPr>
          <w:rFonts w:ascii="Times New Roman"/>
          <w:b w:val="false"/>
          <w:i w:val="false"/>
          <w:color w:val="000000"/>
          <w:sz w:val="28"/>
        </w:rPr>
        <w:t xml:space="preserve">
      mp - the coefficient of mandatory pension contributions and contributions of the employer to the compulsory health insurance fund: </w:t>
      </w:r>
    </w:p>
    <w:p>
      <w:pPr>
        <w:spacing w:after="0"/>
        <w:ind w:left="0"/>
        <w:jc w:val="both"/>
      </w:pPr>
      <w:r>
        <w:rPr>
          <w:rFonts w:ascii="Times New Roman"/>
          <w:b w:val="false"/>
          <w:i w:val="false"/>
          <w:color w:val="000000"/>
          <w:sz w:val="28"/>
        </w:rPr>
        <w:t>
      for 2023 – 1.03;</w:t>
      </w:r>
    </w:p>
    <w:p>
      <w:pPr>
        <w:spacing w:after="0"/>
        <w:ind w:left="0"/>
        <w:jc w:val="both"/>
      </w:pPr>
      <w:r>
        <w:rPr>
          <w:rFonts w:ascii="Times New Roman"/>
          <w:b w:val="false"/>
          <w:i w:val="false"/>
          <w:color w:val="000000"/>
          <w:sz w:val="28"/>
        </w:rPr>
        <w:t>
      for 2024 – 1.045;</w:t>
      </w:r>
    </w:p>
    <w:p>
      <w:pPr>
        <w:spacing w:after="0"/>
        <w:ind w:left="0"/>
        <w:jc w:val="both"/>
      </w:pPr>
      <w:r>
        <w:rPr>
          <w:rFonts w:ascii="Times New Roman"/>
          <w:b w:val="false"/>
          <w:i w:val="false"/>
          <w:color w:val="000000"/>
          <w:sz w:val="28"/>
        </w:rPr>
        <w:t>
      for 2025 - 1.055;</w:t>
      </w:r>
    </w:p>
    <w:p>
      <w:pPr>
        <w:spacing w:after="0"/>
        <w:ind w:left="0"/>
        <w:jc w:val="both"/>
      </w:pPr>
      <w:r>
        <w:rPr>
          <w:rFonts w:ascii="Times New Roman"/>
          <w:b w:val="false"/>
          <w:i w:val="false"/>
          <w:color w:val="000000"/>
          <w:sz w:val="28"/>
        </w:rPr>
        <w:t>
      for 2026 – 1.065;</w:t>
      </w:r>
    </w:p>
    <w:p>
      <w:pPr>
        <w:spacing w:after="0"/>
        <w:ind w:left="0"/>
        <w:jc w:val="both"/>
      </w:pPr>
      <w:r>
        <w:rPr>
          <w:rFonts w:ascii="Times New Roman"/>
          <w:b w:val="false"/>
          <w:i w:val="false"/>
          <w:color w:val="000000"/>
          <w:sz w:val="28"/>
        </w:rPr>
        <w:t>
      for 2027 – 1.075;</w:t>
      </w:r>
    </w:p>
    <w:p>
      <w:pPr>
        <w:spacing w:after="0"/>
        <w:ind w:left="0"/>
        <w:jc w:val="both"/>
      </w:pPr>
      <w:r>
        <w:rPr>
          <w:rFonts w:ascii="Times New Roman"/>
          <w:b w:val="false"/>
          <w:i w:val="false"/>
          <w:color w:val="000000"/>
          <w:sz w:val="28"/>
        </w:rPr>
        <w:t>
      for 2028 and subsequent years – 1.08;</w:t>
      </w:r>
    </w:p>
    <w:p>
      <w:pPr>
        <w:spacing w:after="0"/>
        <w:ind w:left="0"/>
        <w:jc w:val="both"/>
      </w:pPr>
      <w:r>
        <w:rPr>
          <w:rFonts w:ascii="Times New Roman"/>
          <w:b w:val="false"/>
          <w:i w:val="false"/>
          <w:color w:val="000000"/>
          <w:sz w:val="28"/>
        </w:rPr>
        <w:t>
      mv – child-hour coefficient is:</w:t>
      </w:r>
    </w:p>
    <w:p>
      <w:pPr>
        <w:spacing w:after="0"/>
        <w:ind w:left="0"/>
        <w:jc w:val="both"/>
      </w:pPr>
      <w:r>
        <w:rPr>
          <w:rFonts w:ascii="Times New Roman"/>
          <w:b w:val="false"/>
          <w:i w:val="false"/>
          <w:color w:val="000000"/>
          <w:sz w:val="28"/>
        </w:rPr>
        <w:t>
      for pupils in a part-time group, in a pre-school preparation class at a comprehensive school – 0.04;</w:t>
      </w:r>
    </w:p>
    <w:p>
      <w:pPr>
        <w:spacing w:after="0"/>
        <w:ind w:left="0"/>
        <w:jc w:val="both"/>
      </w:pPr>
      <w:r>
        <w:rPr>
          <w:rFonts w:ascii="Times New Roman"/>
          <w:b w:val="false"/>
          <w:i w:val="false"/>
          <w:color w:val="000000"/>
          <w:sz w:val="28"/>
        </w:rPr>
        <w:t>
      for pupils in a group with a 9-hour stay – 0.08;</w:t>
      </w:r>
    </w:p>
    <w:p>
      <w:pPr>
        <w:spacing w:after="0"/>
        <w:ind w:left="0"/>
        <w:jc w:val="both"/>
      </w:pPr>
      <w:r>
        <w:rPr>
          <w:rFonts w:ascii="Times New Roman"/>
          <w:b w:val="false"/>
          <w:i w:val="false"/>
          <w:color w:val="000000"/>
          <w:sz w:val="28"/>
        </w:rPr>
        <w:t xml:space="preserve">
      for pupils in a group with a 10.5-hour stay – 0.09; </w:t>
      </w:r>
    </w:p>
    <w:p>
      <w:pPr>
        <w:spacing w:after="0"/>
        <w:ind w:left="0"/>
        <w:jc w:val="both"/>
      </w:pPr>
      <w:r>
        <w:rPr>
          <w:rFonts w:ascii="Times New Roman"/>
          <w:b w:val="false"/>
          <w:i w:val="false"/>
          <w:color w:val="000000"/>
          <w:sz w:val="28"/>
        </w:rPr>
        <w:t>
      for pupils in the group with tuberculosis, allergic diseases, diabetes mellitus, weakened and frequently ill children with a 10.5-hour stay - 0.15;</w:t>
      </w:r>
    </w:p>
    <w:p>
      <w:pPr>
        <w:spacing w:after="0"/>
        <w:ind w:left="0"/>
        <w:jc w:val="both"/>
      </w:pPr>
      <w:r>
        <w:rPr>
          <w:rFonts w:ascii="Times New Roman"/>
          <w:b w:val="false"/>
          <w:i w:val="false"/>
          <w:color w:val="000000"/>
          <w:sz w:val="28"/>
        </w:rPr>
        <w:t>
      for pupils in a correctional group with a 10.5-hour stay - 0.1875;</w:t>
      </w:r>
    </w:p>
    <w:p>
      <w:pPr>
        <w:spacing w:after="0"/>
        <w:ind w:left="0"/>
        <w:jc w:val="both"/>
      </w:pPr>
      <w:r>
        <w:rPr>
          <w:rFonts w:ascii="Times New Roman"/>
          <w:b w:val="false"/>
          <w:i w:val="false"/>
          <w:color w:val="000000"/>
          <w:sz w:val="28"/>
        </w:rPr>
        <w:t>
      5) W – monthly salary fund for teachers involved in the educational process is calculated using the formula:</w:t>
      </w:r>
    </w:p>
    <w:p>
      <w:pPr>
        <w:spacing w:after="0"/>
        <w:ind w:left="0"/>
        <w:jc w:val="both"/>
      </w:pPr>
      <w:r>
        <w:rPr>
          <w:rFonts w:ascii="Times New Roman"/>
          <w:b w:val="false"/>
          <w:i w:val="false"/>
          <w:color w:val="000000"/>
          <w:sz w:val="28"/>
        </w:rPr>
        <w:t xml:space="preserve">
      W= (OS * kр + BOS * f) * ks+ BDO * (Dou1 + uz+ kzam+ ke1) + R,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OS – monthly salary of teachers participating in the educational process, which is determined by multiplying the BOS by a factor of 4.21;</w:t>
      </w:r>
    </w:p>
    <w:p>
      <w:pPr>
        <w:spacing w:after="0"/>
        <w:ind w:left="0"/>
        <w:jc w:val="both"/>
      </w:pPr>
      <w:r>
        <w:rPr>
          <w:rFonts w:ascii="Times New Roman"/>
          <w:b w:val="false"/>
          <w:i w:val="false"/>
          <w:color w:val="000000"/>
          <w:sz w:val="28"/>
        </w:rPr>
        <w:t>
      f – the coefficient for calculating the salary fund of management personnel participating in the educational process is 1.946 for 2023 and subsequent years;</w:t>
      </w:r>
    </w:p>
    <w:p>
      <w:pPr>
        <w:spacing w:after="0"/>
        <w:ind w:left="0"/>
        <w:jc w:val="both"/>
      </w:pPr>
      <w:r>
        <w:rPr>
          <w:rFonts w:ascii="Times New Roman"/>
          <w:b w:val="false"/>
          <w:i w:val="false"/>
          <w:color w:val="000000"/>
          <w:sz w:val="28"/>
        </w:rPr>
        <w:t>
      ks – the coefficient of additional payment to specialists for work in rural areas is:</w:t>
      </w:r>
    </w:p>
    <w:p>
      <w:pPr>
        <w:spacing w:after="0"/>
        <w:ind w:left="0"/>
        <w:jc w:val="both"/>
      </w:pPr>
      <w:r>
        <w:rPr>
          <w:rFonts w:ascii="Times New Roman"/>
          <w:b w:val="false"/>
          <w:i w:val="false"/>
          <w:color w:val="000000"/>
          <w:sz w:val="28"/>
        </w:rPr>
        <w:t>
      for city organizations of the PE&amp;T – 1;</w:t>
      </w:r>
    </w:p>
    <w:p>
      <w:pPr>
        <w:spacing w:after="0"/>
        <w:ind w:left="0"/>
        <w:jc w:val="both"/>
      </w:pPr>
      <w:r>
        <w:rPr>
          <w:rFonts w:ascii="Times New Roman"/>
          <w:b w:val="false"/>
          <w:i w:val="false"/>
          <w:color w:val="000000"/>
          <w:sz w:val="28"/>
        </w:rPr>
        <w:t>
      for rural – 1.25;</w:t>
      </w:r>
    </w:p>
    <w:p>
      <w:pPr>
        <w:spacing w:after="0"/>
        <w:ind w:left="0"/>
        <w:jc w:val="both"/>
      </w:pPr>
      <w:r>
        <w:rPr>
          <w:rFonts w:ascii="Times New Roman"/>
          <w:b w:val="false"/>
          <w:i w:val="false"/>
          <w:color w:val="000000"/>
          <w:sz w:val="28"/>
        </w:rPr>
        <w:t xml:space="preserve">
      Dow1 - the coefficient of bonus for special working conditions of management personnel and teachers participating in the educational process is 1.289 for 2023 and subsequent years; </w:t>
      </w:r>
    </w:p>
    <w:p>
      <w:pPr>
        <w:spacing w:after="0"/>
        <w:ind w:left="0"/>
        <w:jc w:val="both"/>
      </w:pPr>
      <w:r>
        <w:rPr>
          <w:rFonts w:ascii="Times New Roman"/>
          <w:b w:val="false"/>
          <w:i w:val="false"/>
          <w:color w:val="000000"/>
          <w:sz w:val="28"/>
        </w:rPr>
        <w:t>
      uz – coefficient of additional payments to teachers in groups with tuberculosis, allergic diseases, diabetes mellitus, weakened and frequently ill children, as well as in correctional groups for working with children with special educational needs – 0.380;</w:t>
      </w:r>
    </w:p>
    <w:p>
      <w:pPr>
        <w:spacing w:after="0"/>
        <w:ind w:left="0"/>
        <w:jc w:val="both"/>
      </w:pPr>
      <w:r>
        <w:rPr>
          <w:rFonts w:ascii="Times New Roman"/>
          <w:b w:val="false"/>
          <w:i w:val="false"/>
          <w:color w:val="000000"/>
          <w:sz w:val="28"/>
        </w:rPr>
        <w:t xml:space="preserve">
      ke1 – the coefficient of additional payment for living in an environmental disaster zone in accordance with the Law on the Protection of management personnel and teachers involved in the educational process affected by environmental disasters is 3.868 for 2023 and subsequent years. </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ke1 equals 0;</w:t>
      </w:r>
    </w:p>
    <w:p>
      <w:pPr>
        <w:spacing w:after="0"/>
        <w:ind w:left="0"/>
        <w:jc w:val="both"/>
      </w:pPr>
      <w:r>
        <w:rPr>
          <w:rFonts w:ascii="Times New Roman"/>
          <w:b w:val="false"/>
          <w:i w:val="false"/>
          <w:color w:val="000000"/>
          <w:sz w:val="28"/>
        </w:rPr>
        <w:t>
      R – additional payment for accommodation in a radiation risk zone in accordance with the Law on the Protection of victims at a nuclear test site – 1.5 MCI.</w:t>
      </w:r>
    </w:p>
    <w:p>
      <w:pPr>
        <w:spacing w:after="0"/>
        <w:ind w:left="0"/>
        <w:jc w:val="both"/>
      </w:pPr>
      <w:r>
        <w:rPr>
          <w:rFonts w:ascii="Times New Roman"/>
          <w:b w:val="false"/>
          <w:i w:val="false"/>
          <w:color w:val="000000"/>
          <w:sz w:val="28"/>
        </w:rPr>
        <w:t>
      If this additional payment is not provided for by the Law on the protection of victims at a nuclear test site, then R equals 0;</w:t>
      </w:r>
    </w:p>
    <w:p>
      <w:pPr>
        <w:spacing w:after="0"/>
        <w:ind w:left="0"/>
        <w:jc w:val="both"/>
      </w:pPr>
      <w:r>
        <w:rPr>
          <w:rFonts w:ascii="Times New Roman"/>
          <w:b w:val="false"/>
          <w:i w:val="false"/>
          <w:color w:val="000000"/>
          <w:sz w:val="28"/>
        </w:rPr>
        <w:t xml:space="preserve">
      kzam – the coefficient of additional payment for replacing employees is 1.657 for 2023 and subsequent years; </w:t>
      </w:r>
    </w:p>
    <w:p>
      <w:pPr>
        <w:spacing w:after="0"/>
        <w:ind w:left="0"/>
        <w:jc w:val="both"/>
      </w:pPr>
      <w:r>
        <w:rPr>
          <w:rFonts w:ascii="Times New Roman"/>
          <w:b w:val="false"/>
          <w:i w:val="false"/>
          <w:color w:val="000000"/>
          <w:sz w:val="28"/>
        </w:rPr>
        <w:t>
      6) Ecomp1 - financial assistance for recovery in addition to the current payments for annual paid leave, in accordance with the Law on the Protection of victims of ecological disasters, management personnel, and teachers participating in the educational process, is calculated using the formula:</w:t>
      </w:r>
    </w:p>
    <w:p>
      <w:pPr>
        <w:spacing w:after="0"/>
        <w:ind w:left="0"/>
        <w:jc w:val="both"/>
      </w:pPr>
      <w:r>
        <w:rPr>
          <w:rFonts w:ascii="Times New Roman"/>
          <w:b w:val="false"/>
          <w:i w:val="false"/>
          <w:color w:val="000000"/>
          <w:sz w:val="28"/>
        </w:rPr>
        <w:t>
      Ecomp1 = OS * kp + BOS * f,</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Ecomp1 is equal to 0;</w:t>
      </w:r>
    </w:p>
    <w:p>
      <w:pPr>
        <w:spacing w:after="0"/>
        <w:ind w:left="0"/>
        <w:jc w:val="both"/>
      </w:pPr>
      <w:r>
        <w:rPr>
          <w:rFonts w:ascii="Times New Roman"/>
          <w:b w:val="false"/>
          <w:i w:val="false"/>
          <w:color w:val="000000"/>
          <w:sz w:val="28"/>
        </w:rPr>
        <w:t>
      7) L – the rate of expenditures of the educational environment of the PE&amp;T per one pupil per month is calculated using the formula:</w:t>
      </w:r>
    </w:p>
    <w:p>
      <w:pPr>
        <w:spacing w:after="0"/>
        <w:ind w:left="0"/>
        <w:jc w:val="both"/>
      </w:pPr>
      <w:r>
        <w:rPr>
          <w:rFonts w:ascii="Times New Roman"/>
          <w:b w:val="false"/>
          <w:i w:val="false"/>
          <w:color w:val="000000"/>
          <w:sz w:val="28"/>
        </w:rPr>
        <w:t xml:space="preserve">
      L = Q + S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monthly salary fund for personnel not involved in the educational process, per student per month;</w:t>
      </w:r>
    </w:p>
    <w:p>
      <w:pPr>
        <w:spacing w:after="0"/>
        <w:ind w:left="0"/>
        <w:jc w:val="both"/>
      </w:pPr>
      <w:r>
        <w:rPr>
          <w:rFonts w:ascii="Times New Roman"/>
          <w:b w:val="false"/>
          <w:i w:val="false"/>
          <w:color w:val="000000"/>
          <w:sz w:val="28"/>
        </w:rPr>
        <w:t>
      S – the rate of expenditures for the current maintenance of a preschool educational organization per student per month, which is:</w:t>
      </w:r>
    </w:p>
    <w:p>
      <w:pPr>
        <w:spacing w:after="0"/>
        <w:ind w:left="0"/>
        <w:jc w:val="both"/>
      </w:pPr>
      <w:r>
        <w:rPr>
          <w:rFonts w:ascii="Times New Roman"/>
          <w:b w:val="false"/>
          <w:i w:val="false"/>
          <w:color w:val="000000"/>
          <w:sz w:val="28"/>
        </w:rPr>
        <w:t>
      for Almaty, Atyrau, West Kazakhstan, Mangistau, Turkestan regions, Zhetisu region and the cities of Almaty and Shymkent - 3.75 MCI;</w:t>
      </w:r>
    </w:p>
    <w:p>
      <w:pPr>
        <w:spacing w:after="0"/>
        <w:ind w:left="0"/>
        <w:jc w:val="both"/>
      </w:pPr>
      <w:r>
        <w:rPr>
          <w:rFonts w:ascii="Times New Roman"/>
          <w:b w:val="false"/>
          <w:i w:val="false"/>
          <w:color w:val="000000"/>
          <w:sz w:val="28"/>
        </w:rPr>
        <w:t>
      for Akmola, Aktobe, East Kazakhstan, Zhambyl, Karaganda, Kostanay, Pavlodar regions, Abay, Ulytau regions, and the city of Astana - 3.92 MCI;</w:t>
      </w:r>
    </w:p>
    <w:p>
      <w:pPr>
        <w:spacing w:after="0"/>
        <w:ind w:left="0"/>
        <w:jc w:val="both"/>
      </w:pPr>
      <w:r>
        <w:rPr>
          <w:rFonts w:ascii="Times New Roman"/>
          <w:b w:val="false"/>
          <w:i w:val="false"/>
          <w:color w:val="000000"/>
          <w:sz w:val="28"/>
        </w:rPr>
        <w:t>
      for the North Kazakhstan region – 4.08 MCI;</w:t>
      </w:r>
    </w:p>
    <w:p>
      <w:pPr>
        <w:spacing w:after="0"/>
        <w:ind w:left="0"/>
        <w:jc w:val="both"/>
      </w:pPr>
      <w:r>
        <w:rPr>
          <w:rFonts w:ascii="Times New Roman"/>
          <w:b w:val="false"/>
          <w:i w:val="false"/>
          <w:color w:val="000000"/>
          <w:sz w:val="28"/>
        </w:rPr>
        <w:t xml:space="preserve">
      for the Kyzylorda region - 4.25 MCI. </w:t>
      </w:r>
    </w:p>
    <w:p>
      <w:pPr>
        <w:spacing w:after="0"/>
        <w:ind w:left="0"/>
        <w:jc w:val="both"/>
      </w:pPr>
      <w:r>
        <w:rPr>
          <w:rFonts w:ascii="Times New Roman"/>
          <w:b w:val="false"/>
          <w:i w:val="false"/>
          <w:color w:val="000000"/>
          <w:sz w:val="28"/>
        </w:rPr>
        <w:t>
      When calculating the rate of expenditures for current maintenance for pupils in a group with part-time stay, the indicator S is divided by 2;</w:t>
      </w:r>
    </w:p>
    <w:p>
      <w:pPr>
        <w:spacing w:after="0"/>
        <w:ind w:left="0"/>
        <w:jc w:val="both"/>
      </w:pPr>
      <w:r>
        <w:rPr>
          <w:rFonts w:ascii="Times New Roman"/>
          <w:b w:val="false"/>
          <w:i w:val="false"/>
          <w:color w:val="000000"/>
          <w:sz w:val="28"/>
        </w:rPr>
        <w:t>
      8) Q – is calculated by the formula:</w:t>
      </w:r>
    </w:p>
    <w:p>
      <w:pPr>
        <w:spacing w:after="0"/>
        <w:ind w:left="0"/>
        <w:jc w:val="both"/>
      </w:pPr>
      <w:r>
        <w:rPr>
          <w:rFonts w:ascii="Times New Roman"/>
          <w:b w:val="false"/>
          <w:i w:val="false"/>
          <w:color w:val="000000"/>
          <w:sz w:val="28"/>
        </w:rPr>
        <w:t>
      Q = Qbas + Qcomp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Qbas = (F + (BOS * (c + q) * (e + r))) * sno * mp * mv,</w:t>
      </w:r>
    </w:p>
    <w:p>
      <w:pPr>
        <w:spacing w:after="0"/>
        <w:ind w:left="0"/>
        <w:jc w:val="both"/>
      </w:pPr>
      <w:r>
        <w:rPr>
          <w:rFonts w:ascii="Times New Roman"/>
          <w:b w:val="false"/>
          <w:i w:val="false"/>
          <w:color w:val="000000"/>
          <w:sz w:val="28"/>
        </w:rPr>
        <w:t>
      Qcomp = (BOS * s + Ecomp2) * mv / 12,</w:t>
      </w:r>
    </w:p>
    <w:p>
      <w:pPr>
        <w:spacing w:after="0"/>
        <w:ind w:left="0"/>
        <w:jc w:val="both"/>
      </w:pPr>
      <w:r>
        <w:rPr>
          <w:rFonts w:ascii="Times New Roman"/>
          <w:b w:val="false"/>
          <w:i w:val="false"/>
          <w:color w:val="000000"/>
          <w:sz w:val="28"/>
        </w:rPr>
        <w:t>
      Qbas – monthly salary fund for personnel not participating in the educational process, excluding compensation payments;</w:t>
      </w:r>
    </w:p>
    <w:p>
      <w:pPr>
        <w:spacing w:after="0"/>
        <w:ind w:left="0"/>
        <w:jc w:val="both"/>
      </w:pPr>
      <w:r>
        <w:rPr>
          <w:rFonts w:ascii="Times New Roman"/>
          <w:b w:val="false"/>
          <w:i w:val="false"/>
          <w:color w:val="000000"/>
          <w:sz w:val="28"/>
        </w:rPr>
        <w:t>
      Qcomp – monthly amount of expenses for the payment of benefits for health improvement for the annual paid leave of employees not participating in the educational process;</w:t>
      </w:r>
    </w:p>
    <w:p>
      <w:pPr>
        <w:spacing w:after="0"/>
        <w:ind w:left="0"/>
        <w:jc w:val="both"/>
      </w:pPr>
      <w:r>
        <w:rPr>
          <w:rFonts w:ascii="Times New Roman"/>
          <w:b w:val="false"/>
          <w:i w:val="false"/>
          <w:color w:val="000000"/>
          <w:sz w:val="28"/>
        </w:rPr>
        <w:t xml:space="preserve">
      12 – number of months in a year; </w:t>
      </w:r>
    </w:p>
    <w:p>
      <w:pPr>
        <w:spacing w:after="0"/>
        <w:ind w:left="0"/>
        <w:jc w:val="both"/>
      </w:pPr>
      <w:r>
        <w:rPr>
          <w:rFonts w:ascii="Times New Roman"/>
          <w:b w:val="false"/>
          <w:i w:val="false"/>
          <w:color w:val="000000"/>
          <w:sz w:val="28"/>
        </w:rPr>
        <w:t>
      Ecomp2 - financial assistance for recovery in addition to the current payments for annual paid leave, in accordance with the Law on the protection of personnel victims of ecological disasters not participating in the educational process, is calculated using the formula:</w:t>
      </w:r>
    </w:p>
    <w:p>
      <w:pPr>
        <w:spacing w:after="0"/>
        <w:ind w:left="0"/>
        <w:jc w:val="both"/>
      </w:pPr>
      <w:r>
        <w:rPr>
          <w:rFonts w:ascii="Times New Roman"/>
          <w:b w:val="false"/>
          <w:i w:val="false"/>
          <w:color w:val="000000"/>
          <w:sz w:val="28"/>
        </w:rPr>
        <w:t>
      Ecomp2 = BOS * c.</w:t>
      </w:r>
    </w:p>
    <w:p>
      <w:pPr>
        <w:spacing w:after="0"/>
        <w:ind w:left="0"/>
        <w:jc w:val="both"/>
      </w:pPr>
      <w:r>
        <w:rPr>
          <w:rFonts w:ascii="Times New Roman"/>
          <w:b w:val="false"/>
          <w:i w:val="false"/>
          <w:color w:val="000000"/>
          <w:sz w:val="28"/>
        </w:rPr>
        <w:t>
      If this additional payment is not provided for by the Law on the protection of victims of ecological disasters, then Ecomp2 is equal to 0;</w:t>
      </w:r>
    </w:p>
    <w:p>
      <w:pPr>
        <w:spacing w:after="0"/>
        <w:ind w:left="0"/>
        <w:jc w:val="both"/>
      </w:pPr>
      <w:r>
        <w:rPr>
          <w:rFonts w:ascii="Times New Roman"/>
          <w:b w:val="false"/>
          <w:i w:val="false"/>
          <w:color w:val="000000"/>
          <w:sz w:val="28"/>
        </w:rPr>
        <w:t>
      F – monthly salary fund for personnel not participating in the educational process is calculated using the formula:</w:t>
      </w:r>
    </w:p>
    <w:p>
      <w:pPr>
        <w:spacing w:after="0"/>
        <w:ind w:left="0"/>
        <w:jc w:val="both"/>
      </w:pPr>
      <w:r>
        <w:rPr>
          <w:rFonts w:ascii="Times New Roman"/>
          <w:b w:val="false"/>
          <w:i w:val="false"/>
          <w:color w:val="000000"/>
          <w:sz w:val="28"/>
        </w:rPr>
        <w:t xml:space="preserve">
      F = BOS * (c + q + Doy2 + ke2) + R,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 the ratio of the share of wages of qualified personnel not participating in the educational process to the salary of teachers is equal to:</w:t>
      </w:r>
    </w:p>
    <w:p>
      <w:pPr>
        <w:spacing w:after="0"/>
        <w:ind w:left="0"/>
        <w:jc w:val="both"/>
      </w:pPr>
      <w:r>
        <w:rPr>
          <w:rFonts w:ascii="Times New Roman"/>
          <w:b w:val="false"/>
          <w:i w:val="false"/>
          <w:color w:val="000000"/>
          <w:sz w:val="28"/>
        </w:rPr>
        <w:t>
      for pupils in a part-time group, pre-school preparation classes at secondary schools - 1,681;</w:t>
      </w:r>
    </w:p>
    <w:p>
      <w:pPr>
        <w:spacing w:after="0"/>
        <w:ind w:left="0"/>
        <w:jc w:val="both"/>
      </w:pPr>
      <w:r>
        <w:rPr>
          <w:rFonts w:ascii="Times New Roman"/>
          <w:b w:val="false"/>
          <w:i w:val="false"/>
          <w:color w:val="000000"/>
          <w:sz w:val="28"/>
        </w:rPr>
        <w:t>
      for pupils in other groups – 1.821;</w:t>
      </w:r>
    </w:p>
    <w:p>
      <w:pPr>
        <w:spacing w:after="0"/>
        <w:ind w:left="0"/>
        <w:jc w:val="both"/>
      </w:pPr>
      <w:r>
        <w:rPr>
          <w:rFonts w:ascii="Times New Roman"/>
          <w:b w:val="false"/>
          <w:i w:val="false"/>
          <w:color w:val="000000"/>
          <w:sz w:val="28"/>
        </w:rPr>
        <w:t xml:space="preserve">
      q – coefficient of the share of wages of unskilled personnel not participating in the educational process, for which payment of health benefits is not provided for the annual paid leave of workers, is equal to: </w:t>
      </w:r>
    </w:p>
    <w:p>
      <w:pPr>
        <w:spacing w:after="0"/>
        <w:ind w:left="0"/>
        <w:jc w:val="both"/>
      </w:pPr>
      <w:r>
        <w:rPr>
          <w:rFonts w:ascii="Times New Roman"/>
          <w:b w:val="false"/>
          <w:i w:val="false"/>
          <w:color w:val="000000"/>
          <w:sz w:val="28"/>
        </w:rPr>
        <w:t>
      for pupils in a part-time group, in a pre-school preparation class at a comprehensive school – 0.722;</w:t>
      </w:r>
    </w:p>
    <w:p>
      <w:pPr>
        <w:spacing w:after="0"/>
        <w:ind w:left="0"/>
        <w:jc w:val="both"/>
      </w:pPr>
      <w:r>
        <w:rPr>
          <w:rFonts w:ascii="Times New Roman"/>
          <w:b w:val="false"/>
          <w:i w:val="false"/>
          <w:color w:val="000000"/>
          <w:sz w:val="28"/>
        </w:rPr>
        <w:t>
      for pupils in other groups – 2.417;</w:t>
      </w:r>
    </w:p>
    <w:p>
      <w:pPr>
        <w:spacing w:after="0"/>
        <w:ind w:left="0"/>
        <w:jc w:val="both"/>
      </w:pPr>
      <w:r>
        <w:rPr>
          <w:rFonts w:ascii="Times New Roman"/>
          <w:b w:val="false"/>
          <w:i w:val="false"/>
          <w:color w:val="000000"/>
          <w:sz w:val="28"/>
        </w:rPr>
        <w:t>
      Dow2 - the bonus coefficient for special working conditions of personnel not participating in the educational process is equal to:</w:t>
      </w:r>
    </w:p>
    <w:p>
      <w:pPr>
        <w:spacing w:after="0"/>
        <w:ind w:left="0"/>
        <w:jc w:val="both"/>
      </w:pPr>
      <w:r>
        <w:rPr>
          <w:rFonts w:ascii="Times New Roman"/>
          <w:b w:val="false"/>
          <w:i w:val="false"/>
          <w:color w:val="000000"/>
          <w:sz w:val="28"/>
        </w:rPr>
        <w:t>
      for pupils in a part-time group, in a pre-school preparation class at a comprehensive school – 0.24;</w:t>
      </w:r>
    </w:p>
    <w:p>
      <w:pPr>
        <w:spacing w:after="0"/>
        <w:ind w:left="0"/>
        <w:jc w:val="both"/>
      </w:pPr>
      <w:r>
        <w:rPr>
          <w:rFonts w:ascii="Times New Roman"/>
          <w:b w:val="false"/>
          <w:i w:val="false"/>
          <w:color w:val="000000"/>
          <w:sz w:val="28"/>
        </w:rPr>
        <w:t>
      for pupils in other groups – 0.424;</w:t>
      </w:r>
    </w:p>
    <w:p>
      <w:pPr>
        <w:spacing w:after="0"/>
        <w:ind w:left="0"/>
        <w:jc w:val="both"/>
      </w:pPr>
      <w:r>
        <w:rPr>
          <w:rFonts w:ascii="Times New Roman"/>
          <w:b w:val="false"/>
          <w:i w:val="false"/>
          <w:color w:val="000000"/>
          <w:sz w:val="28"/>
        </w:rPr>
        <w:t xml:space="preserve">
      ke2 – the coefficient of additional payment for accommodation in environmental disaster zones in accordance with the Law on the protection of personnel victims of ecological disasters not participating in the educational process is equal to: </w:t>
      </w:r>
    </w:p>
    <w:p>
      <w:pPr>
        <w:spacing w:after="0"/>
        <w:ind w:left="0"/>
        <w:jc w:val="both"/>
      </w:pPr>
      <w:r>
        <w:rPr>
          <w:rFonts w:ascii="Times New Roman"/>
          <w:b w:val="false"/>
          <w:i w:val="false"/>
          <w:color w:val="000000"/>
          <w:sz w:val="28"/>
        </w:rPr>
        <w:t>
      for pupils in a part-time group, in a pre-school preparation class at a comprehensive school - 0.721;</w:t>
      </w:r>
    </w:p>
    <w:p>
      <w:pPr>
        <w:spacing w:after="0"/>
        <w:ind w:left="0"/>
        <w:jc w:val="both"/>
      </w:pPr>
      <w:r>
        <w:rPr>
          <w:rFonts w:ascii="Times New Roman"/>
          <w:b w:val="false"/>
          <w:i w:val="false"/>
          <w:color w:val="000000"/>
          <w:sz w:val="28"/>
        </w:rPr>
        <w:t>
      for pupils in other groups – 1.271.</w:t>
      </w:r>
    </w:p>
    <w:p>
      <w:pPr>
        <w:spacing w:after="0"/>
        <w:ind w:left="0"/>
        <w:jc w:val="both"/>
      </w:pPr>
      <w:r>
        <w:rPr>
          <w:rFonts w:ascii="Times New Roman"/>
          <w:b w:val="false"/>
          <w:i w:val="false"/>
          <w:color w:val="000000"/>
          <w:sz w:val="28"/>
        </w:rPr>
        <w:t xml:space="preserve">
      If this additional payment is not provided for by the Law on the protection of victims of ecological disasters, then ke2 equals 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Education of the Republic of Kazakhstan dated 06.10.2023 № 305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Algorithm for calculating per capita normative financing of secondary education  Paragraph 1. Indicators of calculation of per capita normative financing of secondary education </w:t>
      </w:r>
    </w:p>
    <w:p>
      <w:pPr>
        <w:spacing w:after="0"/>
        <w:ind w:left="0"/>
        <w:jc w:val="both"/>
      </w:pPr>
      <w:r>
        <w:rPr>
          <w:rFonts w:ascii="Times New Roman"/>
          <w:b w:val="false"/>
          <w:i w:val="false"/>
          <w:color w:val="000000"/>
          <w:sz w:val="28"/>
        </w:rPr>
        <w:t xml:space="preserve">
      5. When calculating the volume of per capita normative financing of secondary education, the following indicators are used: </w:t>
      </w:r>
    </w:p>
    <w:p>
      <w:pPr>
        <w:spacing w:after="0"/>
        <w:ind w:left="0"/>
        <w:jc w:val="both"/>
      </w:pPr>
      <w:r>
        <w:rPr>
          <w:rFonts w:ascii="Times New Roman"/>
          <w:b w:val="false"/>
          <w:i w:val="false"/>
          <w:color w:val="000000"/>
          <w:sz w:val="28"/>
        </w:rPr>
        <w:t xml:space="preserve">
      1) the number of hours per week in accordance with the Standard Curricula (hereinafter - SC1), approved by the order of the Minister of Education and Science of the Republic of Kazakhstan dated November 8, 2012 № 500 "On approval of standard curricula of primary, basic secondary, general secondary education of the Republic of Kazakhstan" (Registered in the Register of state registration of regulatory legal acts under № 8170), by education level: </w:t>
      </w:r>
    </w:p>
    <w:p>
      <w:pPr>
        <w:spacing w:after="0"/>
        <w:ind w:left="0"/>
        <w:jc w:val="both"/>
      </w:pPr>
      <w:r>
        <w:rPr>
          <w:rFonts w:ascii="Times New Roman"/>
          <w:b w:val="false"/>
          <w:i w:val="false"/>
          <w:color w:val="000000"/>
          <w:sz w:val="28"/>
        </w:rPr>
        <w:t xml:space="preserve">
      29.75 hours - the average number of hours in grades 1-4; </w:t>
      </w:r>
    </w:p>
    <w:p>
      <w:pPr>
        <w:spacing w:after="0"/>
        <w:ind w:left="0"/>
        <w:jc w:val="both"/>
      </w:pPr>
      <w:r>
        <w:rPr>
          <w:rFonts w:ascii="Times New Roman"/>
          <w:b w:val="false"/>
          <w:i w:val="false"/>
          <w:color w:val="000000"/>
          <w:sz w:val="28"/>
        </w:rPr>
        <w:t xml:space="preserve">
      45.1 hours - the average number of hours in grades 5-9; </w:t>
      </w:r>
    </w:p>
    <w:p>
      <w:pPr>
        <w:spacing w:after="0"/>
        <w:ind w:left="0"/>
        <w:jc w:val="both"/>
      </w:pPr>
      <w:r>
        <w:rPr>
          <w:rFonts w:ascii="Times New Roman"/>
          <w:b w:val="false"/>
          <w:i w:val="false"/>
          <w:color w:val="000000"/>
          <w:sz w:val="28"/>
        </w:rPr>
        <w:t xml:space="preserve">
      56.25 hours - the average number of hours in grades 10-11; 32.75 hours - the average number of hours in grades 1-4 of correctional and developmental education; </w:t>
      </w:r>
    </w:p>
    <w:p>
      <w:pPr>
        <w:spacing w:after="0"/>
        <w:ind w:left="0"/>
        <w:jc w:val="both"/>
      </w:pPr>
      <w:r>
        <w:rPr>
          <w:rFonts w:ascii="Times New Roman"/>
          <w:b w:val="false"/>
          <w:i w:val="false"/>
          <w:color w:val="000000"/>
          <w:sz w:val="28"/>
        </w:rPr>
        <w:t xml:space="preserve">
      40.25 hours - the average number of hours in 5-10 grades of correctional and developmental education; </w:t>
      </w:r>
    </w:p>
    <w:p>
      <w:pPr>
        <w:spacing w:after="0"/>
        <w:ind w:left="0"/>
        <w:jc w:val="both"/>
      </w:pPr>
      <w:r>
        <w:rPr>
          <w:rFonts w:ascii="Times New Roman"/>
          <w:b w:val="false"/>
          <w:i w:val="false"/>
          <w:color w:val="000000"/>
          <w:sz w:val="28"/>
        </w:rPr>
        <w:t xml:space="preserve">
      43 hours - the average number of hours in 11-12 grades of correctional and developmental education; </w:t>
      </w:r>
    </w:p>
    <w:p>
      <w:pPr>
        <w:spacing w:after="0"/>
        <w:ind w:left="0"/>
        <w:jc w:val="both"/>
      </w:pPr>
      <w:r>
        <w:rPr>
          <w:rFonts w:ascii="Times New Roman"/>
          <w:b w:val="false"/>
          <w:i w:val="false"/>
          <w:color w:val="000000"/>
          <w:sz w:val="28"/>
        </w:rPr>
        <w:t xml:space="preserve">
      8 hours - the number of hours of home education for students in grades 1-4; </w:t>
      </w:r>
    </w:p>
    <w:p>
      <w:pPr>
        <w:spacing w:after="0"/>
        <w:ind w:left="0"/>
        <w:jc w:val="both"/>
      </w:pPr>
      <w:r>
        <w:rPr>
          <w:rFonts w:ascii="Times New Roman"/>
          <w:b w:val="false"/>
          <w:i w:val="false"/>
          <w:color w:val="000000"/>
          <w:sz w:val="28"/>
        </w:rPr>
        <w:t xml:space="preserve">
      10 hours - home education for students in grades 5-9; </w:t>
      </w:r>
    </w:p>
    <w:p>
      <w:pPr>
        <w:spacing w:after="0"/>
        <w:ind w:left="0"/>
        <w:jc w:val="both"/>
      </w:pPr>
      <w:r>
        <w:rPr>
          <w:rFonts w:ascii="Times New Roman"/>
          <w:b w:val="false"/>
          <w:i w:val="false"/>
          <w:color w:val="000000"/>
          <w:sz w:val="28"/>
        </w:rPr>
        <w:t xml:space="preserve">
      12 hours - home education for students in grades 10-11; </w:t>
      </w:r>
    </w:p>
    <w:p>
      <w:pPr>
        <w:spacing w:after="0"/>
        <w:ind w:left="0"/>
        <w:jc w:val="both"/>
      </w:pPr>
      <w:r>
        <w:rPr>
          <w:rFonts w:ascii="Times New Roman"/>
          <w:b w:val="false"/>
          <w:i w:val="false"/>
          <w:color w:val="000000"/>
          <w:sz w:val="28"/>
        </w:rPr>
        <w:t xml:space="preserve">
      2) the estimated occupancy of classes in accordance with the state compulsory standards of primary, basic secondary and general secondary education, approved by the order of the Minister of Education and Science of the Republic of Kazakhstan dated October 31, 2018 № 604 "On approval of state compulsory standards of education at all levels of education" (hereinafter - SCSE) (registered in the Register of state registration of regulatory legal acts of the Republic of Kazakhstan № 17669), Sanitary Rules "Sanitary and epidemiological requirements for educational objects" approved by the order of the Minister of Health of the Republic of Kazakhstan dated August 16, 2017 № 611 (registered in the Register of state registration of regulatory legal acts of the Republic of Kazakhstan № 15681): </w:t>
      </w:r>
    </w:p>
    <w:p>
      <w:pPr>
        <w:spacing w:after="0"/>
        <w:ind w:left="0"/>
        <w:jc w:val="both"/>
      </w:pPr>
      <w:r>
        <w:rPr>
          <w:rFonts w:ascii="Times New Roman"/>
          <w:b w:val="false"/>
          <w:i w:val="false"/>
          <w:color w:val="000000"/>
          <w:sz w:val="28"/>
        </w:rPr>
        <w:t xml:space="preserve">
      in city general education schools - 24 students; </w:t>
      </w:r>
    </w:p>
    <w:p>
      <w:pPr>
        <w:spacing w:after="0"/>
        <w:ind w:left="0"/>
        <w:jc w:val="both"/>
      </w:pPr>
      <w:r>
        <w:rPr>
          <w:rFonts w:ascii="Times New Roman"/>
          <w:b w:val="false"/>
          <w:i w:val="false"/>
          <w:color w:val="000000"/>
          <w:sz w:val="28"/>
        </w:rPr>
        <w:t xml:space="preserve">
      in rural general education schools - 20 students; </w:t>
      </w:r>
    </w:p>
    <w:p>
      <w:pPr>
        <w:spacing w:after="0"/>
        <w:ind w:left="0"/>
        <w:jc w:val="both"/>
      </w:pPr>
      <w:r>
        <w:rPr>
          <w:rFonts w:ascii="Times New Roman"/>
          <w:b w:val="false"/>
          <w:i w:val="false"/>
          <w:color w:val="000000"/>
          <w:sz w:val="28"/>
        </w:rPr>
        <w:t xml:space="preserve">
      in special (correctional) classes - 12 students; </w:t>
      </w:r>
    </w:p>
    <w:p>
      <w:pPr>
        <w:spacing w:after="0"/>
        <w:ind w:left="0"/>
        <w:jc w:val="both"/>
      </w:pPr>
      <w:r>
        <w:rPr>
          <w:rFonts w:ascii="Times New Roman"/>
          <w:b w:val="false"/>
          <w:i w:val="false"/>
          <w:color w:val="000000"/>
          <w:sz w:val="28"/>
        </w:rPr>
        <w:t>
      3) the normative teaching load per week, in accordance with subparagraph 2) of paragraph 3 of Article 8 of the Law of the Republic of Kazakhstan dated December 27, 2019 "On the status of a teacher" (hereinafter - the Law on the status of a teacher), for teachers who carry out professional activities in state educational organizations:</w:t>
      </w:r>
    </w:p>
    <w:p>
      <w:pPr>
        <w:spacing w:after="0"/>
        <w:ind w:left="0"/>
        <w:jc w:val="both"/>
      </w:pPr>
      <w:r>
        <w:rPr>
          <w:rFonts w:ascii="Times New Roman"/>
          <w:b w:val="false"/>
          <w:i w:val="false"/>
          <w:color w:val="000000"/>
          <w:sz w:val="28"/>
        </w:rPr>
        <w:t>
      18 hours for secondary education organizations.</w:t>
      </w:r>
    </w:p>
    <w:p>
      <w:pPr>
        <w:spacing w:after="0"/>
        <w:ind w:left="0"/>
        <w:jc w:val="left"/>
      </w:pPr>
      <w:r>
        <w:rPr>
          <w:rFonts w:ascii="Times New Roman"/>
          <w:b/>
          <w:i w:val="false"/>
          <w:color w:val="000000"/>
        </w:rPr>
        <w:t xml:space="preserve"> Paragraph 2. Algorithm for calculating the per capita normative financing of secondary education </w:t>
      </w:r>
    </w:p>
    <w:p>
      <w:pPr>
        <w:spacing w:after="0"/>
        <w:ind w:left="0"/>
        <w:jc w:val="both"/>
      </w:pPr>
      <w:r>
        <w:rPr>
          <w:rFonts w:ascii="Times New Roman"/>
          <w:b w:val="false"/>
          <w:i w:val="false"/>
          <w:color w:val="000000"/>
          <w:sz w:val="28"/>
        </w:rPr>
        <w:t>
      6. The calculation of the volume of per capita standard financing of secondary education and the per capita standard financing shall be made according to the following formulas:</w:t>
      </w:r>
    </w:p>
    <w:p>
      <w:pPr>
        <w:spacing w:after="0"/>
        <w:ind w:left="0"/>
        <w:jc w:val="both"/>
      </w:pPr>
      <w:r>
        <w:rPr>
          <w:rFonts w:ascii="Times New Roman"/>
          <w:b w:val="false"/>
          <w:i w:val="false"/>
          <w:color w:val="000000"/>
          <w:sz w:val="28"/>
        </w:rPr>
        <w:t>
      Vcf – annual volume of per capita standard financing of the secondary education organization, calculated according to the formula:</w:t>
      </w:r>
    </w:p>
    <w:p>
      <w:pPr>
        <w:spacing w:after="0"/>
        <w:ind w:left="0"/>
        <w:jc w:val="both"/>
      </w:pPr>
      <w:r>
        <w:rPr>
          <w:rFonts w:ascii="Times New Roman"/>
          <w:b w:val="false"/>
          <w:i w:val="false"/>
          <w:color w:val="000000"/>
          <w:sz w:val="28"/>
        </w:rPr>
        <w:t>
      Vcf = ∑ (N</w:t>
      </w:r>
      <w:r>
        <w:rPr>
          <w:rFonts w:ascii="Times New Roman"/>
          <w:b w:val="false"/>
          <w:i w:val="false"/>
          <w:color w:val="000000"/>
          <w:vertAlign w:val="subscript"/>
        </w:rPr>
        <w:t>z</w:t>
      </w:r>
      <w:r>
        <w:rPr>
          <w:rFonts w:ascii="Times New Roman"/>
          <w:b w:val="false"/>
          <w:i w:val="false"/>
          <w:color w:val="000000"/>
          <w:sz w:val="28"/>
        </w:rPr>
        <w:t xml:space="preserve"> * Contz),</w:t>
      </w:r>
    </w:p>
    <w:p>
      <w:pPr>
        <w:spacing w:after="0"/>
        <w:ind w:left="0"/>
        <w:jc w:val="both"/>
      </w:pPr>
      <w:r>
        <w:rPr>
          <w:rFonts w:ascii="Times New Roman"/>
          <w:b w:val="false"/>
          <w:i w:val="false"/>
          <w:color w:val="000000"/>
          <w:sz w:val="28"/>
        </w:rPr>
        <w:t>
      When implementing more than one type of educational program in one secondary education organization, the volume of per capita standard financing shall be determined in total, based on the per capita standard financing for one student by type of educational programs, levels of education;</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per capita standard financing for one student per year shall be calculated according to the following formula:</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L)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1</w:t>
      </w:r>
      <w:r>
        <w:rPr>
          <w:rFonts w:ascii="Times New Roman"/>
          <w:b w:val="false"/>
          <w:i w:val="false"/>
          <w:color w:val="000000"/>
          <w:sz w:val="28"/>
        </w:rPr>
        <w:t xml:space="preserve"> + А</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 - the index reflecting students at the corresponding level of education (primary, basic secondary, general secondary), including students with special educational needs;</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the standard expenditure on the educational process per student per year.</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for a student with special educational needs is multiplied by 2;</w:t>
      </w:r>
    </w:p>
    <w:p>
      <w:pPr>
        <w:spacing w:after="0"/>
        <w:ind w:left="0"/>
        <w:jc w:val="both"/>
      </w:pPr>
      <w:r>
        <w:rPr>
          <w:rFonts w:ascii="Times New Roman"/>
          <w:b w:val="false"/>
          <w:i w:val="false"/>
          <w:color w:val="000000"/>
          <w:sz w:val="28"/>
        </w:rPr>
        <w:t>
      L - the standard expenditure on the educational environment per student per year;</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the school occupancy rate based on the actual average annual contingent, which is:</w:t>
      </w:r>
    </w:p>
    <w:p>
      <w:pPr>
        <w:spacing w:after="0"/>
        <w:ind w:left="0"/>
        <w:jc w:val="both"/>
      </w:pPr>
      <w:r>
        <w:rPr>
          <w:rFonts w:ascii="Times New Roman"/>
          <w:b w:val="false"/>
          <w:i w:val="false"/>
          <w:color w:val="000000"/>
          <w:sz w:val="28"/>
        </w:rPr>
        <w:t>
      up to 400 students – 1;</w:t>
      </w:r>
    </w:p>
    <w:p>
      <w:pPr>
        <w:spacing w:after="0"/>
        <w:ind w:left="0"/>
        <w:jc w:val="both"/>
      </w:pPr>
      <w:r>
        <w:rPr>
          <w:rFonts w:ascii="Times New Roman"/>
          <w:b w:val="false"/>
          <w:i w:val="false"/>
          <w:color w:val="000000"/>
          <w:sz w:val="28"/>
        </w:rPr>
        <w:t>
      from 401 to 500 students – 0.85;</w:t>
      </w:r>
    </w:p>
    <w:p>
      <w:pPr>
        <w:spacing w:after="0"/>
        <w:ind w:left="0"/>
        <w:jc w:val="both"/>
      </w:pPr>
      <w:r>
        <w:rPr>
          <w:rFonts w:ascii="Times New Roman"/>
          <w:b w:val="false"/>
          <w:i w:val="false"/>
          <w:color w:val="000000"/>
          <w:sz w:val="28"/>
        </w:rPr>
        <w:t>
      from 501 to 800 students – 0.75;</w:t>
      </w:r>
    </w:p>
    <w:p>
      <w:pPr>
        <w:spacing w:after="0"/>
        <w:ind w:left="0"/>
        <w:jc w:val="both"/>
      </w:pPr>
      <w:r>
        <w:rPr>
          <w:rFonts w:ascii="Times New Roman"/>
          <w:b w:val="false"/>
          <w:i w:val="false"/>
          <w:color w:val="000000"/>
          <w:sz w:val="28"/>
        </w:rPr>
        <w:t>
      from 801 to 1000 students – 0.65;</w:t>
      </w:r>
    </w:p>
    <w:p>
      <w:pPr>
        <w:spacing w:after="0"/>
        <w:ind w:left="0"/>
        <w:jc w:val="both"/>
      </w:pPr>
      <w:r>
        <w:rPr>
          <w:rFonts w:ascii="Times New Roman"/>
          <w:b w:val="false"/>
          <w:i w:val="false"/>
          <w:color w:val="000000"/>
          <w:sz w:val="28"/>
        </w:rPr>
        <w:t>
      from 1001 to 1200 students – 0.6;</w:t>
      </w:r>
    </w:p>
    <w:p>
      <w:pPr>
        <w:spacing w:after="0"/>
        <w:ind w:left="0"/>
        <w:jc w:val="both"/>
      </w:pPr>
      <w:r>
        <w:rPr>
          <w:rFonts w:ascii="Times New Roman"/>
          <w:b w:val="false"/>
          <w:i w:val="false"/>
          <w:color w:val="000000"/>
          <w:sz w:val="28"/>
        </w:rPr>
        <w:t>
      from 1201 to 1400 students – 0.58;</w:t>
      </w:r>
    </w:p>
    <w:p>
      <w:pPr>
        <w:spacing w:after="0"/>
        <w:ind w:left="0"/>
        <w:jc w:val="both"/>
      </w:pPr>
      <w:r>
        <w:rPr>
          <w:rFonts w:ascii="Times New Roman"/>
          <w:b w:val="false"/>
          <w:i w:val="false"/>
          <w:color w:val="000000"/>
          <w:sz w:val="28"/>
        </w:rPr>
        <w:t>
      from 1401 to 1600 students – 0.56;</w:t>
      </w:r>
    </w:p>
    <w:p>
      <w:pPr>
        <w:spacing w:after="0"/>
        <w:ind w:left="0"/>
        <w:jc w:val="both"/>
      </w:pPr>
      <w:r>
        <w:rPr>
          <w:rFonts w:ascii="Times New Roman"/>
          <w:b w:val="false"/>
          <w:i w:val="false"/>
          <w:color w:val="000000"/>
          <w:sz w:val="28"/>
        </w:rPr>
        <w:t>
      from 1601 to 2000 students – 0.52;</w:t>
      </w:r>
    </w:p>
    <w:p>
      <w:pPr>
        <w:spacing w:after="0"/>
        <w:ind w:left="0"/>
        <w:jc w:val="both"/>
      </w:pPr>
      <w:r>
        <w:rPr>
          <w:rFonts w:ascii="Times New Roman"/>
          <w:b w:val="false"/>
          <w:i w:val="false"/>
          <w:color w:val="000000"/>
          <w:sz w:val="28"/>
        </w:rPr>
        <w:t>
      from 2001 to 2500 students – 0.49;</w:t>
      </w:r>
    </w:p>
    <w:p>
      <w:pPr>
        <w:spacing w:after="0"/>
        <w:ind w:left="0"/>
        <w:jc w:val="both"/>
      </w:pPr>
      <w:r>
        <w:rPr>
          <w:rFonts w:ascii="Times New Roman"/>
          <w:b w:val="false"/>
          <w:i w:val="false"/>
          <w:color w:val="000000"/>
          <w:sz w:val="28"/>
        </w:rPr>
        <w:t>
      from 2501 to 3000 students – 0.45;</w:t>
      </w:r>
    </w:p>
    <w:p>
      <w:pPr>
        <w:spacing w:after="0"/>
        <w:ind w:left="0"/>
        <w:jc w:val="both"/>
      </w:pPr>
      <w:r>
        <w:rPr>
          <w:rFonts w:ascii="Times New Roman"/>
          <w:b w:val="false"/>
          <w:i w:val="false"/>
          <w:color w:val="000000"/>
          <w:sz w:val="28"/>
        </w:rPr>
        <w:t>
      from 3001 to 4000 students – 0.40;</w:t>
      </w:r>
    </w:p>
    <w:p>
      <w:pPr>
        <w:spacing w:after="0"/>
        <w:ind w:left="0"/>
        <w:jc w:val="both"/>
      </w:pPr>
      <w:r>
        <w:rPr>
          <w:rFonts w:ascii="Times New Roman"/>
          <w:b w:val="false"/>
          <w:i w:val="false"/>
          <w:color w:val="000000"/>
          <w:sz w:val="28"/>
        </w:rPr>
        <w:t>
      from 4001 students and more – 0.38;</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the school occupancy rate based on the actual average annual enrollment exceeding the school’s design capacity is:</w:t>
      </w:r>
    </w:p>
    <w:p>
      <w:pPr>
        <w:spacing w:after="0"/>
        <w:ind w:left="0"/>
        <w:jc w:val="both"/>
      </w:pPr>
      <w:r>
        <w:rPr>
          <w:rFonts w:ascii="Times New Roman"/>
          <w:b w:val="false"/>
          <w:i w:val="false"/>
          <w:color w:val="000000"/>
          <w:sz w:val="28"/>
        </w:rPr>
        <w:t>
      up to 150% – 0.3;</w:t>
      </w:r>
    </w:p>
    <w:p>
      <w:pPr>
        <w:spacing w:after="0"/>
        <w:ind w:left="0"/>
        <w:jc w:val="both"/>
      </w:pPr>
      <w:r>
        <w:rPr>
          <w:rFonts w:ascii="Times New Roman"/>
          <w:b w:val="false"/>
          <w:i w:val="false"/>
          <w:color w:val="000000"/>
          <w:sz w:val="28"/>
        </w:rPr>
        <w:t>
      from 151 to 170% – 0.29;</w:t>
      </w:r>
    </w:p>
    <w:p>
      <w:pPr>
        <w:spacing w:after="0"/>
        <w:ind w:left="0"/>
        <w:jc w:val="both"/>
      </w:pPr>
      <w:r>
        <w:rPr>
          <w:rFonts w:ascii="Times New Roman"/>
          <w:b w:val="false"/>
          <w:i w:val="false"/>
          <w:color w:val="000000"/>
          <w:sz w:val="28"/>
        </w:rPr>
        <w:t>
      from 171 to 190% – 0.28;</w:t>
      </w:r>
    </w:p>
    <w:p>
      <w:pPr>
        <w:spacing w:after="0"/>
        <w:ind w:left="0"/>
        <w:jc w:val="both"/>
      </w:pPr>
      <w:r>
        <w:rPr>
          <w:rFonts w:ascii="Times New Roman"/>
          <w:b w:val="false"/>
          <w:i w:val="false"/>
          <w:color w:val="000000"/>
          <w:sz w:val="28"/>
        </w:rPr>
        <w:t>
      from 191 to 210% – 0.27;</w:t>
      </w:r>
    </w:p>
    <w:p>
      <w:pPr>
        <w:spacing w:after="0"/>
        <w:ind w:left="0"/>
        <w:jc w:val="both"/>
      </w:pPr>
      <w:r>
        <w:rPr>
          <w:rFonts w:ascii="Times New Roman"/>
          <w:b w:val="false"/>
          <w:i w:val="false"/>
          <w:color w:val="000000"/>
          <w:sz w:val="28"/>
        </w:rPr>
        <w:t>
      from 211 to 230% – 0.26;</w:t>
      </w:r>
    </w:p>
    <w:p>
      <w:pPr>
        <w:spacing w:after="0"/>
        <w:ind w:left="0"/>
        <w:jc w:val="both"/>
      </w:pPr>
      <w:r>
        <w:rPr>
          <w:rFonts w:ascii="Times New Roman"/>
          <w:b w:val="false"/>
          <w:i w:val="false"/>
          <w:color w:val="000000"/>
          <w:sz w:val="28"/>
        </w:rPr>
        <w:t>
      from 231 to 250% – 0.25;</w:t>
      </w:r>
    </w:p>
    <w:p>
      <w:pPr>
        <w:spacing w:after="0"/>
        <w:ind w:left="0"/>
        <w:jc w:val="both"/>
      </w:pPr>
      <w:r>
        <w:rPr>
          <w:rFonts w:ascii="Times New Roman"/>
          <w:b w:val="false"/>
          <w:i w:val="false"/>
          <w:color w:val="000000"/>
          <w:sz w:val="28"/>
        </w:rPr>
        <w:t>
      from 251 to 270% – 0.24;</w:t>
      </w:r>
    </w:p>
    <w:p>
      <w:pPr>
        <w:spacing w:after="0"/>
        <w:ind w:left="0"/>
        <w:jc w:val="both"/>
      </w:pPr>
      <w:r>
        <w:rPr>
          <w:rFonts w:ascii="Times New Roman"/>
          <w:b w:val="false"/>
          <w:i w:val="false"/>
          <w:color w:val="000000"/>
          <w:sz w:val="28"/>
        </w:rPr>
        <w:t>
      from 271 to 290% – 0.23;</w:t>
      </w:r>
    </w:p>
    <w:p>
      <w:pPr>
        <w:spacing w:after="0"/>
        <w:ind w:left="0"/>
        <w:jc w:val="both"/>
      </w:pPr>
      <w:r>
        <w:rPr>
          <w:rFonts w:ascii="Times New Roman"/>
          <w:b w:val="false"/>
          <w:i w:val="false"/>
          <w:color w:val="000000"/>
          <w:sz w:val="28"/>
        </w:rPr>
        <w:t>
      from 291 to 310% – 0.22;</w:t>
      </w:r>
    </w:p>
    <w:p>
      <w:pPr>
        <w:spacing w:after="0"/>
        <w:ind w:left="0"/>
        <w:jc w:val="both"/>
      </w:pPr>
      <w:r>
        <w:rPr>
          <w:rFonts w:ascii="Times New Roman"/>
          <w:b w:val="false"/>
          <w:i w:val="false"/>
          <w:color w:val="000000"/>
          <w:sz w:val="28"/>
        </w:rPr>
        <w:t>
      from 311% and more – 0.21.</w:t>
      </w:r>
    </w:p>
    <w:p>
      <w:pPr>
        <w:spacing w:after="0"/>
        <w:ind w:left="0"/>
        <w:jc w:val="both"/>
      </w:pPr>
      <w:r>
        <w:rPr>
          <w:rFonts w:ascii="Times New Roman"/>
          <w:b w:val="false"/>
          <w:i w:val="false"/>
          <w:color w:val="000000"/>
          <w:sz w:val="28"/>
        </w:rPr>
        <w:t>
      The adjustment factors k</w:t>
      </w:r>
      <w:r>
        <w:rPr>
          <w:rFonts w:ascii="Times New Roman"/>
          <w:b w:val="false"/>
          <w:i w:val="false"/>
          <w:color w:val="000000"/>
          <w:vertAlign w:val="subscript"/>
        </w:rPr>
        <w:t>1</w:t>
      </w:r>
      <w:r>
        <w:rPr>
          <w:rFonts w:ascii="Times New Roman"/>
          <w:b w:val="false"/>
          <w:i w:val="false"/>
          <w:color w:val="000000"/>
          <w:sz w:val="28"/>
        </w:rPr>
        <w:t xml:space="preserve"> and k</w:t>
      </w:r>
      <w:r>
        <w:rPr>
          <w:rFonts w:ascii="Times New Roman"/>
          <w:b w:val="false"/>
          <w:i w:val="false"/>
          <w:color w:val="000000"/>
          <w:vertAlign w:val="subscript"/>
        </w:rPr>
        <w:t>2</w:t>
      </w:r>
      <w:r>
        <w:rPr>
          <w:rFonts w:ascii="Times New Roman"/>
          <w:b w:val="false"/>
          <w:i w:val="false"/>
          <w:color w:val="000000"/>
          <w:sz w:val="28"/>
        </w:rPr>
        <w:t xml:space="preserve"> shall not be applied:</w:t>
      </w:r>
    </w:p>
    <w:p>
      <w:pPr>
        <w:spacing w:after="0"/>
        <w:ind w:left="0"/>
        <w:jc w:val="both"/>
      </w:pPr>
      <w:r>
        <w:rPr>
          <w:rFonts w:ascii="Times New Roman"/>
          <w:b w:val="false"/>
          <w:i w:val="false"/>
          <w:color w:val="000000"/>
          <w:sz w:val="28"/>
        </w:rPr>
        <w:t>
      for classes formed from students with special educational needs in state secondary education institutions;</w:t>
      </w:r>
    </w:p>
    <w:p>
      <w:pPr>
        <w:spacing w:after="0"/>
        <w:ind w:left="0"/>
        <w:jc w:val="both"/>
      </w:pPr>
      <w:r>
        <w:rPr>
          <w:rFonts w:ascii="Times New Roman"/>
          <w:b w:val="false"/>
          <w:i w:val="false"/>
          <w:color w:val="000000"/>
          <w:sz w:val="28"/>
        </w:rPr>
        <w:t>
      for private secondary education institutions, with the exception of facilities of state secondary education institutions that are under trust management by private secondary education institutions;</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the standard for expenses on depreciation of buildings and structures, depreciation/purchase of equipment, per student, which is per year:</w:t>
      </w:r>
    </w:p>
    <w:p>
      <w:pPr>
        <w:spacing w:after="0"/>
        <w:ind w:left="0"/>
        <w:jc w:val="both"/>
      </w:pPr>
      <w:r>
        <w:rPr>
          <w:rFonts w:ascii="Times New Roman"/>
          <w:b w:val="false"/>
          <w:i w:val="false"/>
          <w:color w:val="000000"/>
          <w:sz w:val="28"/>
        </w:rPr>
        <w:t>
      6 MCI - for students in existing schools regardless of the form of ownership, with the exception of private educational organizations commissioned through construction within the framework of the fourth mechanism of the pilot national project in the field of education "Comfortable school";</w:t>
      </w:r>
    </w:p>
    <w:p>
      <w:pPr>
        <w:spacing w:after="0"/>
        <w:ind w:left="0"/>
        <w:jc w:val="both"/>
      </w:pPr>
      <w:r>
        <w:rPr>
          <w:rFonts w:ascii="Times New Roman"/>
          <w:b w:val="false"/>
          <w:i w:val="false"/>
          <w:color w:val="000000"/>
          <w:sz w:val="28"/>
        </w:rPr>
        <w:t>
      12 MCI - for students living in a boarding school at a private secondary education organization, in a private boarding school;</w:t>
      </w:r>
    </w:p>
    <w:p>
      <w:pPr>
        <w:spacing w:after="0"/>
        <w:ind w:left="0"/>
        <w:jc w:val="both"/>
      </w:pPr>
      <w:r>
        <w:rPr>
          <w:rFonts w:ascii="Times New Roman"/>
          <w:b w:val="false"/>
          <w:i w:val="false"/>
          <w:color w:val="000000"/>
          <w:sz w:val="28"/>
        </w:rPr>
        <w:t>
      17 MCI - for students in private educational organizations commissioned through construction within the framework of the fourth mechanism of the pilot national project in the field of education "Comfortable school".</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the standard for depreciation of buildings for each newly introduced student place actually occupied by a student at the facilities of secondary education organizations (but not higher than their design capacity):</w:t>
      </w:r>
    </w:p>
    <w:p>
      <w:pPr>
        <w:spacing w:after="0"/>
        <w:ind w:left="0"/>
        <w:jc w:val="both"/>
      </w:pPr>
      <w:r>
        <w:rPr>
          <w:rFonts w:ascii="Times New Roman"/>
          <w:b w:val="false"/>
          <w:i w:val="false"/>
          <w:color w:val="000000"/>
          <w:sz w:val="28"/>
        </w:rPr>
        <w:t>
      privately owned secondary education organizations;</w:t>
      </w:r>
    </w:p>
    <w:p>
      <w:pPr>
        <w:spacing w:after="0"/>
        <w:ind w:left="0"/>
        <w:jc w:val="both"/>
      </w:pPr>
      <w:r>
        <w:rPr>
          <w:rFonts w:ascii="Times New Roman"/>
          <w:b w:val="false"/>
          <w:i w:val="false"/>
          <w:color w:val="000000"/>
          <w:sz w:val="28"/>
        </w:rPr>
        <w:t>
      transferred to state ownership under the terms of a public-private partnership agreement.</w:t>
      </w:r>
    </w:p>
    <w:p>
      <w:pPr>
        <w:spacing w:after="0"/>
        <w:ind w:left="0"/>
        <w:jc w:val="both"/>
      </w:pPr>
      <w:r>
        <w:rPr>
          <w:rFonts w:ascii="Times New Roman"/>
          <w:b w:val="false"/>
          <w:i w:val="false"/>
          <w:color w:val="000000"/>
          <w:sz w:val="28"/>
        </w:rPr>
        <w:t>
      Newly introduced student places are places at the facilities of secondary education organizations:</w:t>
      </w:r>
    </w:p>
    <w:p>
      <w:pPr>
        <w:spacing w:after="0"/>
        <w:ind w:left="0"/>
        <w:jc w:val="both"/>
      </w:pPr>
      <w:r>
        <w:rPr>
          <w:rFonts w:ascii="Times New Roman"/>
          <w:b w:val="false"/>
          <w:i w:val="false"/>
          <w:color w:val="000000"/>
          <w:sz w:val="28"/>
        </w:rPr>
        <w:t>
      privately owned secondary education organizations, commissioned after July 20, 2018 through construction or reconstruction, as well as in the private ownership of the founders of these secondary education organizations or their close relatives;</w:t>
      </w:r>
    </w:p>
    <w:p>
      <w:pPr>
        <w:spacing w:after="0"/>
        <w:ind w:left="0"/>
        <w:jc w:val="both"/>
      </w:pPr>
      <w:r>
        <w:rPr>
          <w:rFonts w:ascii="Times New Roman"/>
          <w:b w:val="false"/>
          <w:i w:val="false"/>
          <w:color w:val="000000"/>
          <w:sz w:val="28"/>
        </w:rPr>
        <w:t>
      transferred to state ownership under the terms of a public-private partnership agreement.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is paid to educational organizations for 8 (eight) years, with the exception of buildings of a secondary education organization facility, commissioned through construction as part of the implementation of the pilot national project in the field of education "Comfortable school".</w:t>
      </w:r>
    </w:p>
    <w:p>
      <w:pPr>
        <w:spacing w:after="0"/>
        <w:ind w:left="0"/>
        <w:jc w:val="both"/>
      </w:pPr>
      <w:r>
        <w:rPr>
          <w:rFonts w:ascii="Times New Roman"/>
          <w:b w:val="false"/>
          <w:i w:val="false"/>
          <w:color w:val="000000"/>
          <w:sz w:val="28"/>
        </w:rPr>
        <w:t>
      Payment of А</w:t>
      </w:r>
      <w:r>
        <w:rPr>
          <w:rFonts w:ascii="Times New Roman"/>
          <w:b w:val="false"/>
          <w:i w:val="false"/>
          <w:color w:val="000000"/>
          <w:vertAlign w:val="subscript"/>
        </w:rPr>
        <w:t>2</w:t>
      </w:r>
      <w:r>
        <w:rPr>
          <w:rFonts w:ascii="Times New Roman"/>
          <w:b w:val="false"/>
          <w:i w:val="false"/>
          <w:color w:val="000000"/>
          <w:sz w:val="28"/>
        </w:rPr>
        <w:t xml:space="preserve"> to educational organizations, with the exception of secondary education organizations, commissioned through construction as part of the implementation of the pilot national project in the field of education "Comfortable school", shall be carried out to:</w:t>
      </w:r>
    </w:p>
    <w:p>
      <w:pPr>
        <w:spacing w:after="0"/>
        <w:ind w:left="0"/>
        <w:jc w:val="both"/>
      </w:pPr>
      <w:r>
        <w:rPr>
          <w:rFonts w:ascii="Times New Roman"/>
          <w:b w:val="false"/>
          <w:i w:val="false"/>
          <w:color w:val="000000"/>
          <w:sz w:val="28"/>
        </w:rPr>
        <w:t>
      those applying for А</w:t>
      </w:r>
      <w:r>
        <w:rPr>
          <w:rFonts w:ascii="Times New Roman"/>
          <w:b w:val="false"/>
          <w:i w:val="false"/>
          <w:color w:val="000000"/>
          <w:vertAlign w:val="subscript"/>
        </w:rPr>
        <w:t>2</w:t>
      </w:r>
      <w:r>
        <w:rPr>
          <w:rFonts w:ascii="Times New Roman"/>
          <w:b w:val="false"/>
          <w:i w:val="false"/>
          <w:color w:val="000000"/>
          <w:sz w:val="28"/>
        </w:rPr>
        <w:t xml:space="preserve"> - after the imposition of an encumbrance on the right to change the intended purpose of the private secondary education facility for a period of twenty years;</w:t>
      </w:r>
    </w:p>
    <w:p>
      <w:pPr>
        <w:spacing w:after="0"/>
        <w:ind w:left="0"/>
        <w:jc w:val="both"/>
      </w:pPr>
      <w:r>
        <w:rPr>
          <w:rFonts w:ascii="Times New Roman"/>
          <w:b w:val="false"/>
          <w:i w:val="false"/>
          <w:color w:val="000000"/>
          <w:sz w:val="28"/>
        </w:rPr>
        <w:t>
      those who received А</w:t>
      </w:r>
      <w:r>
        <w:rPr>
          <w:rFonts w:ascii="Times New Roman"/>
          <w:b w:val="false"/>
          <w:i w:val="false"/>
          <w:color w:val="000000"/>
          <w:vertAlign w:val="subscript"/>
        </w:rPr>
        <w:t>2</w:t>
      </w:r>
      <w:r>
        <w:rPr>
          <w:rFonts w:ascii="Times New Roman"/>
          <w:b w:val="false"/>
          <w:i w:val="false"/>
          <w:color w:val="000000"/>
          <w:sz w:val="28"/>
        </w:rPr>
        <w:t xml:space="preserve"> before February 14, 2020 - after accepting the obligation to impose an encumbrance on the right to change the intended purpose of the private secondary education facility during 2020 for a period of twenty years. At the same time, the period for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is reduced in proportion to the period of its payments made before accepting these obligations;</w:t>
      </w:r>
    </w:p>
    <w:p>
      <w:pPr>
        <w:spacing w:after="0"/>
        <w:ind w:left="0"/>
        <w:jc w:val="both"/>
      </w:pPr>
      <w:r>
        <w:rPr>
          <w:rFonts w:ascii="Times New Roman"/>
          <w:b w:val="false"/>
          <w:i w:val="false"/>
          <w:color w:val="000000"/>
          <w:sz w:val="28"/>
        </w:rPr>
        <w:t>
      those who received secondary education facilities under the terms of a public-private partnership agreement. At the same time, the founder of such an educational organization shall ensure that the amount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shall be directed toward financing the public-private partnership project, within the framework of which the secondary education facility is transferred to state ownership under the terms of a public-private partnership agreement. The amount of the per capita financing standard per student per year (N</w:t>
      </w:r>
      <w:r>
        <w:rPr>
          <w:rFonts w:ascii="Times New Roman"/>
          <w:b w:val="false"/>
          <w:i w:val="false"/>
          <w:color w:val="000000"/>
          <w:vertAlign w:val="subscript"/>
        </w:rPr>
        <w:t>z</w:t>
      </w:r>
      <w:r>
        <w:rPr>
          <w:rFonts w:ascii="Times New Roman"/>
          <w:b w:val="false"/>
          <w:i w:val="false"/>
          <w:color w:val="000000"/>
          <w:sz w:val="28"/>
        </w:rPr>
        <w:t>) minus the amount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payments shall be directed to financing the expenses of the educational process and the educational environment.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is paid to educational organizations commissioned through construction within the framework of the pilot national project in the field of education "Comfortable school":</w:t>
      </w:r>
    </w:p>
    <w:p>
      <w:pPr>
        <w:spacing w:after="0"/>
        <w:ind w:left="0"/>
        <w:jc w:val="both"/>
      </w:pPr>
      <w:r>
        <w:rPr>
          <w:rFonts w:ascii="Times New Roman"/>
          <w:b w:val="false"/>
          <w:i w:val="false"/>
          <w:color w:val="000000"/>
          <w:sz w:val="28"/>
        </w:rPr>
        <w:t>
      under the third mechanism for 5 (five) years.</w:t>
      </w:r>
    </w:p>
    <w:p>
      <w:pPr>
        <w:spacing w:after="0"/>
        <w:ind w:left="0"/>
        <w:jc w:val="both"/>
      </w:pPr>
      <w:r>
        <w:rPr>
          <w:rFonts w:ascii="Times New Roman"/>
          <w:b w:val="false"/>
          <w:i w:val="false"/>
          <w:color w:val="000000"/>
          <w:sz w:val="28"/>
        </w:rPr>
        <w:t>
      As part of the implementation of the third mechanism, the payment of А</w:t>
      </w:r>
      <w:r>
        <w:rPr>
          <w:rFonts w:ascii="Times New Roman"/>
          <w:b w:val="false"/>
          <w:i w:val="false"/>
          <w:color w:val="000000"/>
          <w:vertAlign w:val="subscript"/>
        </w:rPr>
        <w:t>2</w:t>
      </w:r>
      <w:r>
        <w:rPr>
          <w:rFonts w:ascii="Times New Roman"/>
          <w:b w:val="false"/>
          <w:i w:val="false"/>
          <w:color w:val="000000"/>
          <w:sz w:val="28"/>
        </w:rPr>
        <w:t xml:space="preserve"> to secondary education organizations ceases before the expiration of the 5 (five) year period upon reaching the paid total volume of А</w:t>
      </w:r>
      <w:r>
        <w:rPr>
          <w:rFonts w:ascii="Times New Roman"/>
          <w:b w:val="false"/>
          <w:i w:val="false"/>
          <w:color w:val="000000"/>
          <w:vertAlign w:val="subscript"/>
        </w:rPr>
        <w:t>2</w:t>
      </w:r>
      <w:r>
        <w:rPr>
          <w:rFonts w:ascii="Times New Roman"/>
          <w:b w:val="false"/>
          <w:i w:val="false"/>
          <w:color w:val="000000"/>
          <w:sz w:val="28"/>
        </w:rPr>
        <w:t xml:space="preserve"> in the amount of no more than 70 (seventy) percent of the cost of construction of the facility according to the design and estimate documentation, built within the framework of the pilot national project in the field of education "Comfortable school";</w:t>
      </w:r>
    </w:p>
    <w:p>
      <w:pPr>
        <w:spacing w:after="0"/>
        <w:ind w:left="0"/>
        <w:jc w:val="both"/>
      </w:pPr>
      <w:r>
        <w:rPr>
          <w:rFonts w:ascii="Times New Roman"/>
          <w:b w:val="false"/>
          <w:i w:val="false"/>
          <w:color w:val="000000"/>
          <w:sz w:val="28"/>
        </w:rPr>
        <w:t>
      under the fourth mechanism for 6 (six) years after the imposition of an encumbrance on the right to change the intended purpose of the facility of a private educational organization (indefinitely).</w:t>
      </w:r>
    </w:p>
    <w:p>
      <w:pPr>
        <w:spacing w:after="0"/>
        <w:ind w:left="0"/>
        <w:jc w:val="both"/>
      </w:pPr>
      <w:r>
        <w:rPr>
          <w:rFonts w:ascii="Times New Roman"/>
          <w:b w:val="false"/>
          <w:i w:val="false"/>
          <w:color w:val="000000"/>
          <w:sz w:val="28"/>
        </w:rPr>
        <w:t>
      As part of the implementation of the fourth mechanism for the payment of А</w:t>
      </w:r>
      <w:r>
        <w:rPr>
          <w:rFonts w:ascii="Times New Roman"/>
          <w:b w:val="false"/>
          <w:i w:val="false"/>
          <w:color w:val="000000"/>
          <w:vertAlign w:val="subscript"/>
        </w:rPr>
        <w:t>2</w:t>
      </w:r>
      <w:r>
        <w:rPr>
          <w:rFonts w:ascii="Times New Roman"/>
          <w:b w:val="false"/>
          <w:i w:val="false"/>
          <w:color w:val="000000"/>
          <w:sz w:val="28"/>
        </w:rPr>
        <w:t xml:space="preserve"> to secondary education organizations, a grace period is in effect for the first 12 (twelve) months, during which a three-fold increased standard shall be paid for the design capacity of a private secondary education organization, and in the following 5 (five) years the standard shall be paid for each student place actually occupied by a student (but not higher than the design capacity).</w:t>
      </w:r>
    </w:p>
    <w:p>
      <w:pPr>
        <w:spacing w:after="0"/>
        <w:ind w:left="0"/>
        <w:jc w:val="both"/>
      </w:pPr>
      <w:r>
        <w:rPr>
          <w:rFonts w:ascii="Times New Roman"/>
          <w:b w:val="false"/>
          <w:i w:val="false"/>
          <w:color w:val="000000"/>
          <w:sz w:val="28"/>
        </w:rPr>
        <w:t>
      In case of change of the owner of the secondary education facility, the term of А</w:t>
      </w:r>
      <w:r>
        <w:rPr>
          <w:rFonts w:ascii="Times New Roman"/>
          <w:b w:val="false"/>
          <w:i w:val="false"/>
          <w:color w:val="000000"/>
          <w:vertAlign w:val="subscript"/>
        </w:rPr>
        <w:t>2</w:t>
      </w:r>
      <w:r>
        <w:rPr>
          <w:rFonts w:ascii="Times New Roman"/>
          <w:b w:val="false"/>
          <w:i w:val="false"/>
          <w:color w:val="000000"/>
          <w:sz w:val="28"/>
        </w:rPr>
        <w:t xml:space="preserve"> payments shall be reduced in proportion to the term of its payments by the previous owner of the secondary education facility.</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is:</w:t>
      </w:r>
    </w:p>
    <w:p>
      <w:pPr>
        <w:spacing w:after="0"/>
        <w:ind w:left="0"/>
        <w:jc w:val="both"/>
      </w:pPr>
      <w:r>
        <w:rPr>
          <w:rFonts w:ascii="Times New Roman"/>
          <w:b w:val="false"/>
          <w:i w:val="false"/>
          <w:color w:val="000000"/>
          <w:sz w:val="28"/>
        </w:rPr>
        <w:t>
      during construction, except for construction within the framework of the pilot national project in the field of education "Comfortable school" - 96 MCI per year;</w:t>
      </w:r>
    </w:p>
    <w:p>
      <w:pPr>
        <w:spacing w:after="0"/>
        <w:ind w:left="0"/>
        <w:jc w:val="both"/>
      </w:pPr>
      <w:r>
        <w:rPr>
          <w:rFonts w:ascii="Times New Roman"/>
          <w:b w:val="false"/>
          <w:i w:val="false"/>
          <w:color w:val="000000"/>
          <w:sz w:val="28"/>
        </w:rPr>
        <w:t>
      during construction within the framework of the third mechanism of the pilot national project in the field of education "Comfortable school" for the following number of places at the educational facility:</w:t>
      </w:r>
    </w:p>
    <w:p>
      <w:pPr>
        <w:spacing w:after="0"/>
        <w:ind w:left="0"/>
        <w:jc w:val="both"/>
      </w:pPr>
      <w:r>
        <w:rPr>
          <w:rFonts w:ascii="Times New Roman"/>
          <w:b w:val="false"/>
          <w:i w:val="false"/>
          <w:color w:val="000000"/>
          <w:sz w:val="28"/>
        </w:rPr>
        <w:t>
      commissioned in 2024 with a design capacity of:</w:t>
      </w:r>
    </w:p>
    <w:p>
      <w:pPr>
        <w:spacing w:after="0"/>
        <w:ind w:left="0"/>
        <w:jc w:val="both"/>
      </w:pPr>
      <w:r>
        <w:rPr>
          <w:rFonts w:ascii="Times New Roman"/>
          <w:b w:val="false"/>
          <w:i w:val="false"/>
          <w:color w:val="000000"/>
          <w:sz w:val="28"/>
        </w:rPr>
        <w:t>
      1,200 places - 213.93 MCI per year;</w:t>
      </w:r>
    </w:p>
    <w:p>
      <w:pPr>
        <w:spacing w:after="0"/>
        <w:ind w:left="0"/>
        <w:jc w:val="both"/>
      </w:pPr>
      <w:r>
        <w:rPr>
          <w:rFonts w:ascii="Times New Roman"/>
          <w:b w:val="false"/>
          <w:i w:val="false"/>
          <w:color w:val="000000"/>
          <w:sz w:val="28"/>
        </w:rPr>
        <w:t>
      1,500 places - 187.02 MCI per year;</w:t>
      </w:r>
    </w:p>
    <w:p>
      <w:pPr>
        <w:spacing w:after="0"/>
        <w:ind w:left="0"/>
        <w:jc w:val="both"/>
      </w:pPr>
      <w:r>
        <w:rPr>
          <w:rFonts w:ascii="Times New Roman"/>
          <w:b w:val="false"/>
          <w:i w:val="false"/>
          <w:color w:val="000000"/>
          <w:sz w:val="28"/>
        </w:rPr>
        <w:t>
      2,000 places - 186.41 MCI per year;</w:t>
      </w:r>
    </w:p>
    <w:p>
      <w:pPr>
        <w:spacing w:after="0"/>
        <w:ind w:left="0"/>
        <w:jc w:val="both"/>
      </w:pPr>
      <w:r>
        <w:rPr>
          <w:rFonts w:ascii="Times New Roman"/>
          <w:b w:val="false"/>
          <w:i w:val="false"/>
          <w:color w:val="000000"/>
          <w:sz w:val="28"/>
        </w:rPr>
        <w:t>
      2,500 places - 161.64 MCI per year;</w:t>
      </w:r>
    </w:p>
    <w:p>
      <w:pPr>
        <w:spacing w:after="0"/>
        <w:ind w:left="0"/>
        <w:jc w:val="both"/>
      </w:pPr>
      <w:r>
        <w:rPr>
          <w:rFonts w:ascii="Times New Roman"/>
          <w:b w:val="false"/>
          <w:i w:val="false"/>
          <w:color w:val="000000"/>
          <w:sz w:val="28"/>
        </w:rPr>
        <w:t>
      commissioned in 2025 with a design capacity of:</w:t>
      </w:r>
    </w:p>
    <w:p>
      <w:pPr>
        <w:spacing w:after="0"/>
        <w:ind w:left="0"/>
        <w:jc w:val="both"/>
      </w:pPr>
      <w:r>
        <w:rPr>
          <w:rFonts w:ascii="Times New Roman"/>
          <w:b w:val="false"/>
          <w:i w:val="false"/>
          <w:color w:val="000000"/>
          <w:sz w:val="28"/>
        </w:rPr>
        <w:t>
      1,200 places - 230.63 MCI per year;</w:t>
      </w:r>
    </w:p>
    <w:p>
      <w:pPr>
        <w:spacing w:after="0"/>
        <w:ind w:left="0"/>
        <w:jc w:val="both"/>
      </w:pPr>
      <w:r>
        <w:rPr>
          <w:rFonts w:ascii="Times New Roman"/>
          <w:b w:val="false"/>
          <w:i w:val="false"/>
          <w:color w:val="000000"/>
          <w:sz w:val="28"/>
        </w:rPr>
        <w:t>
      1,500 places – 201.61 MCI per year;</w:t>
      </w:r>
    </w:p>
    <w:p>
      <w:pPr>
        <w:spacing w:after="0"/>
        <w:ind w:left="0"/>
        <w:jc w:val="both"/>
      </w:pPr>
      <w:r>
        <w:rPr>
          <w:rFonts w:ascii="Times New Roman"/>
          <w:b w:val="false"/>
          <w:i w:val="false"/>
          <w:color w:val="000000"/>
          <w:sz w:val="28"/>
        </w:rPr>
        <w:t>
      2,000 places – 200.96 MCI per year;</w:t>
      </w:r>
    </w:p>
    <w:p>
      <w:pPr>
        <w:spacing w:after="0"/>
        <w:ind w:left="0"/>
        <w:jc w:val="both"/>
      </w:pPr>
      <w:r>
        <w:rPr>
          <w:rFonts w:ascii="Times New Roman"/>
          <w:b w:val="false"/>
          <w:i w:val="false"/>
          <w:color w:val="000000"/>
          <w:sz w:val="28"/>
        </w:rPr>
        <w:t>
      2,500 places – 174.25 MCI per year;</w:t>
      </w:r>
    </w:p>
    <w:p>
      <w:pPr>
        <w:spacing w:after="0"/>
        <w:ind w:left="0"/>
        <w:jc w:val="both"/>
      </w:pPr>
      <w:r>
        <w:rPr>
          <w:rFonts w:ascii="Times New Roman"/>
          <w:b w:val="false"/>
          <w:i w:val="false"/>
          <w:color w:val="000000"/>
          <w:sz w:val="28"/>
        </w:rPr>
        <w:t>
      When determining the size of А</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for a secondary education facility introduced within the framework of the third mechanism of the pilot national project in the field of education "Comfortable school", the MCI size as of January 1, 2023, established by the Law of the Republic of Kazakhstan "On the Republican Budget for 2023-2025" is applied;</w:t>
      </w:r>
    </w:p>
    <w:p>
      <w:pPr>
        <w:spacing w:after="0"/>
        <w:ind w:left="0"/>
        <w:jc w:val="both"/>
      </w:pPr>
      <w:r>
        <w:rPr>
          <w:rFonts w:ascii="Times New Roman"/>
          <w:b w:val="false"/>
          <w:i w:val="false"/>
          <w:color w:val="000000"/>
          <w:sz w:val="28"/>
        </w:rPr>
        <w:t>
      during construction within the framework of the fourth mechanism of the pilot national project in the field of education "Comfortable school" taking into account the design capacity of a private secondary education facility at:</w:t>
      </w:r>
    </w:p>
    <w:p>
      <w:pPr>
        <w:spacing w:after="0"/>
        <w:ind w:left="0"/>
        <w:jc w:val="both"/>
      </w:pPr>
      <w:r>
        <w:rPr>
          <w:rFonts w:ascii="Times New Roman"/>
          <w:b w:val="false"/>
          <w:i w:val="false"/>
          <w:color w:val="000000"/>
          <w:sz w:val="28"/>
        </w:rPr>
        <w:t>
      600 places - 201 MCI per year;</w:t>
      </w:r>
    </w:p>
    <w:p>
      <w:pPr>
        <w:spacing w:after="0"/>
        <w:ind w:left="0"/>
        <w:jc w:val="both"/>
      </w:pPr>
      <w:r>
        <w:rPr>
          <w:rFonts w:ascii="Times New Roman"/>
          <w:b w:val="false"/>
          <w:i w:val="false"/>
          <w:color w:val="000000"/>
          <w:sz w:val="28"/>
        </w:rPr>
        <w:t>
      900 places - 157 MCI per year;</w:t>
      </w:r>
    </w:p>
    <w:p>
      <w:pPr>
        <w:spacing w:after="0"/>
        <w:ind w:left="0"/>
        <w:jc w:val="both"/>
      </w:pPr>
      <w:r>
        <w:rPr>
          <w:rFonts w:ascii="Times New Roman"/>
          <w:b w:val="false"/>
          <w:i w:val="false"/>
          <w:color w:val="000000"/>
          <w:sz w:val="28"/>
        </w:rPr>
        <w:t>
      1,200 places - 122 MCI per year;</w:t>
      </w:r>
    </w:p>
    <w:p>
      <w:pPr>
        <w:spacing w:after="0"/>
        <w:ind w:left="0"/>
        <w:jc w:val="both"/>
      </w:pPr>
      <w:r>
        <w:rPr>
          <w:rFonts w:ascii="Times New Roman"/>
          <w:b w:val="false"/>
          <w:i w:val="false"/>
          <w:color w:val="000000"/>
          <w:sz w:val="28"/>
        </w:rPr>
        <w:t>
      1,500 places - 104 MCI per year;</w:t>
      </w:r>
    </w:p>
    <w:p>
      <w:pPr>
        <w:spacing w:after="0"/>
        <w:ind w:left="0"/>
        <w:jc w:val="both"/>
      </w:pPr>
      <w:r>
        <w:rPr>
          <w:rFonts w:ascii="Times New Roman"/>
          <w:b w:val="false"/>
          <w:i w:val="false"/>
          <w:color w:val="000000"/>
          <w:sz w:val="28"/>
        </w:rPr>
        <w:t>
      2,000 places - 100 MCI per year;</w:t>
      </w:r>
    </w:p>
    <w:p>
      <w:pPr>
        <w:spacing w:after="0"/>
        <w:ind w:left="0"/>
        <w:jc w:val="both"/>
      </w:pPr>
      <w:r>
        <w:rPr>
          <w:rFonts w:ascii="Times New Roman"/>
          <w:b w:val="false"/>
          <w:i w:val="false"/>
          <w:color w:val="000000"/>
          <w:sz w:val="28"/>
        </w:rPr>
        <w:t>
      during reconstruction - 47 MCI per year.</w:t>
      </w:r>
    </w:p>
    <w:p>
      <w:pPr>
        <w:spacing w:after="0"/>
        <w:ind w:left="0"/>
        <w:jc w:val="both"/>
      </w:pPr>
      <w:r>
        <w:rPr>
          <w:rFonts w:ascii="Times New Roman"/>
          <w:b w:val="false"/>
          <w:i w:val="false"/>
          <w:color w:val="000000"/>
          <w:sz w:val="28"/>
        </w:rPr>
        <w:t>
      In all other cases, including after the expiration of the above-mentioned periods of payments of А</w:t>
      </w:r>
      <w:r>
        <w:rPr>
          <w:rFonts w:ascii="Times New Roman"/>
          <w:b w:val="false"/>
          <w:i w:val="false"/>
          <w:color w:val="000000"/>
          <w:vertAlign w:val="subscript"/>
        </w:rPr>
        <w:t>2</w:t>
      </w:r>
      <w:r>
        <w:rPr>
          <w:rFonts w:ascii="Times New Roman"/>
          <w:b w:val="false"/>
          <w:i w:val="false"/>
          <w:color w:val="000000"/>
          <w:sz w:val="28"/>
        </w:rPr>
        <w:t xml:space="preserve"> for newly introduced student places, А</w:t>
      </w:r>
      <w:r>
        <w:rPr>
          <w:rFonts w:ascii="Times New Roman"/>
          <w:b w:val="false"/>
          <w:i w:val="false"/>
          <w:color w:val="000000"/>
          <w:vertAlign w:val="subscript"/>
        </w:rPr>
        <w:t>2</w:t>
      </w:r>
      <w:r>
        <w:rPr>
          <w:rFonts w:ascii="Times New Roman"/>
          <w:b w:val="false"/>
          <w:i w:val="false"/>
          <w:color w:val="000000"/>
          <w:sz w:val="28"/>
        </w:rPr>
        <w:t xml:space="preserve"> is equal to 0;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 the standard of expenses for depreciation of buildings, for each newly introduced place of residence actually occupied by a student at the facilities of secondary education organizations that are privately owned by secondary education organizations, but not higher than their design capacity.</w:t>
      </w:r>
    </w:p>
    <w:p>
      <w:pPr>
        <w:spacing w:after="0"/>
        <w:ind w:left="0"/>
        <w:jc w:val="both"/>
      </w:pPr>
      <w:r>
        <w:rPr>
          <w:rFonts w:ascii="Times New Roman"/>
          <w:b w:val="false"/>
          <w:i w:val="false"/>
          <w:color w:val="000000"/>
          <w:sz w:val="28"/>
        </w:rPr>
        <w:t>
      Newly introduced places of residence for students are places in boarding schools of secondary education organizations that are privately owned by secondary education organizations, commissioned after January 1, 2020 through construction or reconstruction, as well as in the private ownership of the founders of these secondary education organizations or their close relatives.</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 paid for 8 (eight) years after the imposition of the encumbrance of the right to change the intended purpose of the boarding school of a secondary education organization for a period of twenty years. At the same time, in the event of a change in the owner of the private secondary education organization, the period of А</w:t>
      </w:r>
      <w:r>
        <w:rPr>
          <w:rFonts w:ascii="Times New Roman"/>
          <w:b w:val="false"/>
          <w:i w:val="false"/>
          <w:color w:val="000000"/>
          <w:vertAlign w:val="subscript"/>
        </w:rPr>
        <w:t>3</w:t>
      </w:r>
      <w:r>
        <w:rPr>
          <w:rFonts w:ascii="Times New Roman"/>
          <w:b w:val="false"/>
          <w:i w:val="false"/>
          <w:color w:val="000000"/>
          <w:sz w:val="28"/>
        </w:rPr>
        <w:t xml:space="preserve"> payments is reduced in proportion to the period of its payments by the previous owner of the boarding school of a private secondary education organization.</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is:</w:t>
      </w:r>
    </w:p>
    <w:p>
      <w:pPr>
        <w:spacing w:after="0"/>
        <w:ind w:left="0"/>
        <w:jc w:val="both"/>
      </w:pPr>
      <w:r>
        <w:rPr>
          <w:rFonts w:ascii="Times New Roman"/>
          <w:b w:val="false"/>
          <w:i w:val="false"/>
          <w:color w:val="000000"/>
          <w:sz w:val="28"/>
        </w:rPr>
        <w:t>
      during construction - 122 MCI per year;</w:t>
      </w:r>
    </w:p>
    <w:p>
      <w:pPr>
        <w:spacing w:after="0"/>
        <w:ind w:left="0"/>
        <w:jc w:val="both"/>
      </w:pPr>
      <w:r>
        <w:rPr>
          <w:rFonts w:ascii="Times New Roman"/>
          <w:b w:val="false"/>
          <w:i w:val="false"/>
          <w:color w:val="000000"/>
          <w:sz w:val="28"/>
        </w:rPr>
        <w:t>
      during reconstruction - 47 MCI per year.</w:t>
      </w:r>
    </w:p>
    <w:p>
      <w:pPr>
        <w:spacing w:after="0"/>
        <w:ind w:left="0"/>
        <w:jc w:val="both"/>
      </w:pPr>
      <w:r>
        <w:rPr>
          <w:rFonts w:ascii="Times New Roman"/>
          <w:b w:val="false"/>
          <w:i w:val="false"/>
          <w:color w:val="000000"/>
          <w:sz w:val="28"/>
        </w:rPr>
        <w:t>
      In all other cases, including after 8 (eight) years of А</w:t>
      </w:r>
      <w:r>
        <w:rPr>
          <w:rFonts w:ascii="Times New Roman"/>
          <w:b w:val="false"/>
          <w:i w:val="false"/>
          <w:color w:val="000000"/>
          <w:vertAlign w:val="subscript"/>
        </w:rPr>
        <w:t>3</w:t>
      </w:r>
      <w:r>
        <w:rPr>
          <w:rFonts w:ascii="Times New Roman"/>
          <w:b w:val="false"/>
          <w:i w:val="false"/>
          <w:color w:val="000000"/>
          <w:sz w:val="28"/>
        </w:rPr>
        <w:t xml:space="preserve"> payments for newly introduced places of residence for students, А</w:t>
      </w:r>
      <w:r>
        <w:rPr>
          <w:rFonts w:ascii="Times New Roman"/>
          <w:b w:val="false"/>
          <w:i w:val="false"/>
          <w:color w:val="000000"/>
          <w:vertAlign w:val="subscript"/>
        </w:rPr>
        <w:t>3</w:t>
      </w:r>
      <w:r>
        <w:rPr>
          <w:rFonts w:ascii="Times New Roman"/>
          <w:b w:val="false"/>
          <w:i w:val="false"/>
          <w:color w:val="000000"/>
          <w:sz w:val="28"/>
        </w:rPr>
        <w:t xml:space="preserve"> is equal to 0;</w:t>
      </w:r>
    </w:p>
    <w:p>
      <w:pPr>
        <w:spacing w:after="0"/>
        <w:ind w:left="0"/>
        <w:jc w:val="both"/>
      </w:pPr>
      <w:r>
        <w:rPr>
          <w:rFonts w:ascii="Times New Roman"/>
          <w:b w:val="false"/>
          <w:i w:val="false"/>
          <w:color w:val="000000"/>
          <w:sz w:val="28"/>
        </w:rPr>
        <w:t>
      3) Contz – the average annual contingent of students shall be calculated using the formulas:</w:t>
      </w:r>
    </w:p>
    <w:p>
      <w:pPr>
        <w:spacing w:after="0"/>
        <w:ind w:left="0"/>
        <w:jc w:val="both"/>
      </w:pPr>
      <w:r>
        <w:rPr>
          <w:rFonts w:ascii="Times New Roman"/>
          <w:b w:val="false"/>
          <w:i w:val="false"/>
          <w:color w:val="000000"/>
          <w:sz w:val="28"/>
        </w:rPr>
        <w:t>
      when planning the annual volume of per capita standard financing for the upcoming year:</w:t>
      </w:r>
    </w:p>
    <w:p>
      <w:pPr>
        <w:spacing w:after="0"/>
        <w:ind w:left="0"/>
        <w:jc w:val="both"/>
      </w:pPr>
      <w:r>
        <w:rPr>
          <w:rFonts w:ascii="Times New Roman"/>
          <w:b w:val="false"/>
          <w:i w:val="false"/>
          <w:color w:val="000000"/>
          <w:sz w:val="28"/>
        </w:rPr>
        <w:t>
      Contz = forecast contingent as of September 1 of the current year;</w:t>
      </w:r>
    </w:p>
    <w:p>
      <w:pPr>
        <w:spacing w:after="0"/>
        <w:ind w:left="0"/>
        <w:jc w:val="both"/>
      </w:pPr>
      <w:r>
        <w:rPr>
          <w:rFonts w:ascii="Times New Roman"/>
          <w:b w:val="false"/>
          <w:i w:val="false"/>
          <w:color w:val="000000"/>
          <w:sz w:val="28"/>
        </w:rPr>
        <w:t>
      when specifying the annual volume of per capita standard financing:</w:t>
      </w:r>
    </w:p>
    <w:p>
      <w:pPr>
        <w:spacing w:after="0"/>
        <w:ind w:left="0"/>
        <w:jc w:val="both"/>
      </w:pPr>
      <w:r>
        <w:rPr>
          <w:rFonts w:ascii="Times New Roman"/>
          <w:b w:val="false"/>
          <w:i w:val="false"/>
          <w:color w:val="000000"/>
          <w:sz w:val="28"/>
        </w:rPr>
        <w:t>
      Contz = (Contz1 * 8 + Contz2 * 4)/12,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Contz1 – actual contingent of students at the beginning of the current year;</w:t>
      </w:r>
    </w:p>
    <w:p>
      <w:pPr>
        <w:spacing w:after="0"/>
        <w:ind w:left="0"/>
        <w:jc w:val="both"/>
      </w:pPr>
      <w:r>
        <w:rPr>
          <w:rFonts w:ascii="Times New Roman"/>
          <w:b w:val="false"/>
          <w:i w:val="false"/>
          <w:color w:val="000000"/>
          <w:sz w:val="28"/>
        </w:rPr>
        <w:t>
      Contz2 – actual contingent of students at the end of the current year;</w:t>
      </w:r>
    </w:p>
    <w:p>
      <w:pPr>
        <w:spacing w:after="0"/>
        <w:ind w:left="0"/>
        <w:jc w:val="both"/>
      </w:pPr>
      <w:r>
        <w:rPr>
          <w:rFonts w:ascii="Times New Roman"/>
          <w:b w:val="false"/>
          <w:i w:val="false"/>
          <w:color w:val="000000"/>
          <w:sz w:val="28"/>
        </w:rPr>
        <w:t>
      8, 4, 12 – number of months;</w:t>
      </w:r>
    </w:p>
    <w:p>
      <w:pPr>
        <w:spacing w:after="0"/>
        <w:ind w:left="0"/>
        <w:jc w:val="both"/>
      </w:pPr>
      <w:r>
        <w:rPr>
          <w:rFonts w:ascii="Times New Roman"/>
          <w:b w:val="false"/>
          <w:i w:val="false"/>
          <w:color w:val="000000"/>
          <w:sz w:val="28"/>
        </w:rPr>
        <w:t>
      4) Еz – standard expenditure on the educational process of the secondary education organization by levels of education per student per year shall be calculated using the formula:</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annual wage fund for management personnel and teachers involved in the educational process of the secondary education organization, per student per year;</w:t>
      </w:r>
    </w:p>
    <w:p>
      <w:pPr>
        <w:spacing w:after="0"/>
        <w:ind w:left="0"/>
        <w:jc w:val="both"/>
      </w:pPr>
      <w:r>
        <w:rPr>
          <w:rFonts w:ascii="Times New Roman"/>
          <w:b w:val="false"/>
          <w:i w:val="false"/>
          <w:color w:val="000000"/>
          <w:sz w:val="28"/>
        </w:rPr>
        <w:t>
      Х – expenses related to the educational process, which amount to 1.2 MCI per year per student;</w:t>
      </w:r>
    </w:p>
    <w:p>
      <w:pPr>
        <w:spacing w:after="0"/>
        <w:ind w:left="0"/>
        <w:jc w:val="both"/>
      </w:pPr>
      <w:r>
        <w:rPr>
          <w:rFonts w:ascii="Times New Roman"/>
          <w:b w:val="false"/>
          <w:i w:val="false"/>
          <w:color w:val="000000"/>
          <w:sz w:val="28"/>
        </w:rPr>
        <w:t>
      5) T</w:t>
      </w:r>
      <w:r>
        <w:rPr>
          <w:rFonts w:ascii="Times New Roman"/>
          <w:b w:val="false"/>
          <w:i w:val="false"/>
          <w:color w:val="000000"/>
          <w:vertAlign w:val="subscript"/>
        </w:rPr>
        <w:t>z</w:t>
      </w:r>
      <w:r>
        <w:rPr>
          <w:rFonts w:ascii="Times New Roman"/>
          <w:b w:val="false"/>
          <w:i w:val="false"/>
          <w:color w:val="000000"/>
          <w:sz w:val="28"/>
        </w:rPr>
        <w:t xml:space="preserve"> is calculated using the formula depending on the level of education (z):</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osn + T</w:t>
      </w:r>
      <w:r>
        <w:rPr>
          <w:rFonts w:ascii="Times New Roman"/>
          <w:b w:val="false"/>
          <w:i w:val="false"/>
          <w:color w:val="000000"/>
          <w:vertAlign w:val="subscript"/>
        </w:rPr>
        <w:t>z</w:t>
      </w:r>
      <w:r>
        <w:rPr>
          <w:rFonts w:ascii="Times New Roman"/>
          <w:b w:val="false"/>
          <w:i w:val="false"/>
          <w:color w:val="000000"/>
          <w:sz w:val="28"/>
        </w:rPr>
        <w:t xml:space="preserve"> comp,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osn = {12 * W + ((DO * kp + BDO * f) * (e + r)) + St} * sno * mvz, T</w:t>
      </w:r>
      <w:r>
        <w:rPr>
          <w:rFonts w:ascii="Times New Roman"/>
          <w:b w:val="false"/>
          <w:i w:val="false"/>
          <w:color w:val="000000"/>
          <w:vertAlign w:val="subscript"/>
        </w:rPr>
        <w:t>z</w:t>
      </w:r>
      <w:r>
        <w:rPr>
          <w:rFonts w:ascii="Times New Roman"/>
          <w:b w:val="false"/>
          <w:i w:val="false"/>
          <w:color w:val="000000"/>
          <w:sz w:val="28"/>
        </w:rPr>
        <w:t xml:space="preserve"> comp = [(DO * kp + BDO * f) * ks + Экомп1] * mvz;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Тz osn – annual wage fund of management and core personnel involved in the educational process of the secondary education organization, excluding compensation payments;</w:t>
      </w:r>
    </w:p>
    <w:p>
      <w:pPr>
        <w:spacing w:after="0"/>
        <w:ind w:left="0"/>
        <w:jc w:val="both"/>
      </w:pPr>
      <w:r>
        <w:rPr>
          <w:rFonts w:ascii="Times New Roman"/>
          <w:b w:val="false"/>
          <w:i w:val="false"/>
          <w:color w:val="000000"/>
          <w:sz w:val="28"/>
        </w:rPr>
        <w:t>
      Тz comp – annual amount of expenses for payment of health benefits for annual paid leave of employees of the secondary education organization;</w:t>
      </w:r>
    </w:p>
    <w:p>
      <w:pPr>
        <w:spacing w:after="0"/>
        <w:ind w:left="0"/>
        <w:jc w:val="both"/>
      </w:pPr>
      <w:r>
        <w:rPr>
          <w:rFonts w:ascii="Times New Roman"/>
          <w:b w:val="false"/>
          <w:i w:val="false"/>
          <w:color w:val="000000"/>
          <w:sz w:val="28"/>
        </w:rPr>
        <w:t>
      12 – number of months in a year for the transition from calculating standard costs per month to calculating standard costs per year;</w:t>
      </w:r>
    </w:p>
    <w:p>
      <w:pPr>
        <w:spacing w:after="0"/>
        <w:ind w:left="0"/>
        <w:jc w:val="both"/>
      </w:pPr>
      <w:r>
        <w:rPr>
          <w:rFonts w:ascii="Times New Roman"/>
          <w:b w:val="false"/>
          <w:i w:val="false"/>
          <w:color w:val="000000"/>
          <w:sz w:val="28"/>
        </w:rPr>
        <w:t>
      W – teachers' wage fund per month;</w:t>
      </w:r>
    </w:p>
    <w:p>
      <w:pPr>
        <w:spacing w:after="0"/>
        <w:ind w:left="0"/>
        <w:jc w:val="both"/>
      </w:pPr>
      <w:r>
        <w:rPr>
          <w:rFonts w:ascii="Times New Roman"/>
          <w:b w:val="false"/>
          <w:i w:val="false"/>
          <w:color w:val="000000"/>
          <w:sz w:val="28"/>
        </w:rPr>
        <w:t>
      DO – official salary of one teaching position per month, which is determined by multiplying BDO by the coefficient 5.12;</w:t>
      </w:r>
    </w:p>
    <w:p>
      <w:pPr>
        <w:spacing w:after="0"/>
        <w:ind w:left="0"/>
        <w:jc w:val="both"/>
      </w:pPr>
      <w:r>
        <w:rPr>
          <w:rFonts w:ascii="Times New Roman"/>
          <w:b w:val="false"/>
          <w:i w:val="false"/>
          <w:color w:val="000000"/>
          <w:sz w:val="28"/>
        </w:rPr>
        <w:t>
      kр – correction factor to the established salary amount - 2;</w:t>
      </w:r>
    </w:p>
    <w:p>
      <w:pPr>
        <w:spacing w:after="0"/>
        <w:ind w:left="0"/>
        <w:jc w:val="both"/>
      </w:pPr>
      <w:r>
        <w:rPr>
          <w:rFonts w:ascii="Times New Roman"/>
          <w:b w:val="false"/>
          <w:i w:val="false"/>
          <w:color w:val="000000"/>
          <w:sz w:val="28"/>
        </w:rPr>
        <w:t>
      f – coefficient for calculating the payroll fund for management personnel - 2.897;</w:t>
      </w:r>
    </w:p>
    <w:p>
      <w:pPr>
        <w:spacing w:after="0"/>
        <w:ind w:left="0"/>
        <w:jc w:val="both"/>
      </w:pPr>
      <w:r>
        <w:rPr>
          <w:rFonts w:ascii="Times New Roman"/>
          <w:b w:val="false"/>
          <w:i w:val="false"/>
          <w:color w:val="000000"/>
          <w:sz w:val="28"/>
        </w:rPr>
        <w:t>
      е – coefficient of additional annual paid leave for living in environmental disaster zones in accordance with the Law on the Protection of victims of environmental disasters – 0.30.</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 is equal to 0;</w:t>
      </w:r>
    </w:p>
    <w:p>
      <w:pPr>
        <w:spacing w:after="0"/>
        <w:ind w:left="0"/>
        <w:jc w:val="both"/>
      </w:pPr>
      <w:r>
        <w:rPr>
          <w:rFonts w:ascii="Times New Roman"/>
          <w:b w:val="false"/>
          <w:i w:val="false"/>
          <w:color w:val="000000"/>
          <w:sz w:val="28"/>
        </w:rPr>
        <w:t>
      r – coefficient of additional annual paid leave for living in radiation risk zones in accordance with the Law on the Protection of victims at the nuclear test site – 0.33.</w:t>
      </w:r>
    </w:p>
    <w:p>
      <w:pPr>
        <w:spacing w:after="0"/>
        <w:ind w:left="0"/>
        <w:jc w:val="both"/>
      </w:pPr>
      <w:r>
        <w:rPr>
          <w:rFonts w:ascii="Times New Roman"/>
          <w:b w:val="false"/>
          <w:i w:val="false"/>
          <w:color w:val="000000"/>
          <w:sz w:val="28"/>
        </w:rPr>
        <w:t>
      If this additional payment is not provided for by the Law on the Protection of victims at the nuclear test site, r is equal to 0;</w:t>
      </w:r>
    </w:p>
    <w:p>
      <w:pPr>
        <w:spacing w:after="0"/>
        <w:ind w:left="0"/>
        <w:jc w:val="both"/>
      </w:pPr>
      <w:r>
        <w:rPr>
          <w:rFonts w:ascii="Times New Roman"/>
          <w:b w:val="false"/>
          <w:i w:val="false"/>
          <w:color w:val="000000"/>
          <w:sz w:val="28"/>
        </w:rPr>
        <w:t>
      St – incentive component in the amount of 0.135 BDO per year per student;</w:t>
      </w:r>
    </w:p>
    <w:p>
      <w:pPr>
        <w:spacing w:after="0"/>
        <w:ind w:left="0"/>
        <w:jc w:val="both"/>
      </w:pPr>
      <w:r>
        <w:rPr>
          <w:rFonts w:ascii="Times New Roman"/>
          <w:b w:val="false"/>
          <w:i w:val="false"/>
          <w:color w:val="000000"/>
          <w:sz w:val="28"/>
        </w:rPr>
        <w:t>
      sno – coefficient of social tax and social contributions – 1.0855;</w:t>
      </w:r>
    </w:p>
    <w:p>
      <w:pPr>
        <w:spacing w:after="0"/>
        <w:ind w:left="0"/>
        <w:jc w:val="both"/>
      </w:pPr>
      <w:r>
        <w:rPr>
          <w:rFonts w:ascii="Times New Roman"/>
          <w:b w:val="false"/>
          <w:i w:val="false"/>
          <w:color w:val="000000"/>
          <w:sz w:val="28"/>
        </w:rPr>
        <w:t>
      mp – coefficient of employer contributions to the compulsory medical insurance fund – 1.03;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student-hour coefficient (the ratio of the number of teaching hours per student taking into account the standard teaching load), calculated using the formula:</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n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sz w:val="28"/>
        </w:rPr>
        <w:t>– the number of hours per week according to MEP 1;</w:t>
      </w:r>
    </w:p>
    <w:p>
      <w:pPr>
        <w:spacing w:after="0"/>
        <w:ind w:left="0"/>
        <w:jc w:val="both"/>
      </w:pPr>
      <w:r>
        <w:rPr>
          <w:rFonts w:ascii="Times New Roman"/>
          <w:b w:val="false"/>
          <w:i w:val="false"/>
          <w:color w:val="000000"/>
          <w:sz w:val="28"/>
        </w:rPr>
        <w:t>
      n – the standard teaching load per week;</w:t>
      </w:r>
    </w:p>
    <w:p>
      <w:pPr>
        <w:spacing w:after="0"/>
        <w:ind w:left="0"/>
        <w:jc w:val="both"/>
      </w:pPr>
      <w:r>
        <w:rPr>
          <w:rFonts w:ascii="Times New Roman"/>
          <w:b w:val="false"/>
          <w:i w:val="false"/>
          <w:color w:val="000000"/>
          <w:sz w:val="28"/>
        </w:rPr>
        <w:t>
      d – the estimated class size. When calculating mvz for home schooling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the coefficient of additional payment to specialists for work in rural areas, is:</w:t>
      </w:r>
    </w:p>
    <w:p>
      <w:pPr>
        <w:spacing w:after="0"/>
        <w:ind w:left="0"/>
        <w:jc w:val="both"/>
      </w:pPr>
      <w:r>
        <w:rPr>
          <w:rFonts w:ascii="Times New Roman"/>
          <w:b w:val="false"/>
          <w:i w:val="false"/>
          <w:color w:val="000000"/>
          <w:sz w:val="28"/>
        </w:rPr>
        <w:t>
      for city schools – 1.0;</w:t>
      </w:r>
    </w:p>
    <w:p>
      <w:pPr>
        <w:spacing w:after="0"/>
        <w:ind w:left="0"/>
        <w:jc w:val="both"/>
      </w:pPr>
      <w:r>
        <w:rPr>
          <w:rFonts w:ascii="Times New Roman"/>
          <w:b w:val="false"/>
          <w:i w:val="false"/>
          <w:color w:val="000000"/>
          <w:sz w:val="28"/>
        </w:rPr>
        <w:t>
      for rural schools – 1.25;</w:t>
      </w:r>
    </w:p>
    <w:p>
      <w:pPr>
        <w:spacing w:after="0"/>
        <w:ind w:left="0"/>
        <w:jc w:val="both"/>
      </w:pPr>
      <w:r>
        <w:rPr>
          <w:rFonts w:ascii="Times New Roman"/>
          <w:b w:val="false"/>
          <w:i w:val="false"/>
          <w:color w:val="000000"/>
          <w:sz w:val="28"/>
        </w:rPr>
        <w:t>
      Ekomp1 – financial assistance for health improvement in addition to the current payments for annual paid leave, in accordance with the Law on the Protection of victims of environmental disasters, personnel participating in the educational process, is calculated using the formula:</w:t>
      </w:r>
    </w:p>
    <w:p>
      <w:pPr>
        <w:spacing w:after="0"/>
        <w:ind w:left="0"/>
        <w:jc w:val="both"/>
      </w:pPr>
      <w:r>
        <w:rPr>
          <w:rFonts w:ascii="Times New Roman"/>
          <w:b w:val="false"/>
          <w:i w:val="false"/>
          <w:color w:val="000000"/>
          <w:sz w:val="28"/>
        </w:rPr>
        <w:t>
      Ekomp1 = DO * kр + BDO * f,</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Ekomp1 equals 0;</w:t>
      </w:r>
    </w:p>
    <w:p>
      <w:pPr>
        <w:spacing w:after="0"/>
        <w:ind w:left="0"/>
        <w:jc w:val="both"/>
      </w:pPr>
      <w:r>
        <w:rPr>
          <w:rFonts w:ascii="Times New Roman"/>
          <w:b w:val="false"/>
          <w:i w:val="false"/>
          <w:color w:val="000000"/>
          <w:sz w:val="28"/>
        </w:rPr>
        <w:t>
      6) W – monthly teachers’ salary fund, calculated using the formula:</w:t>
      </w:r>
    </w:p>
    <w:p>
      <w:pPr>
        <w:spacing w:after="0"/>
        <w:ind w:left="0"/>
        <w:jc w:val="both"/>
      </w:pPr>
      <w:r>
        <w:rPr>
          <w:rFonts w:ascii="Times New Roman"/>
          <w:b w:val="false"/>
          <w:i w:val="false"/>
          <w:color w:val="000000"/>
          <w:sz w:val="28"/>
        </w:rPr>
        <w:t>
      W = (DO * kр + BDO * f) * ks + BDO * (Dou1 + uz + ke1) + 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Dou1 – coefficient of additional payment for special working conditions of personnel participating in the educational process – 1.314;</w:t>
      </w:r>
    </w:p>
    <w:p>
      <w:pPr>
        <w:spacing w:after="0"/>
        <w:ind w:left="0"/>
        <w:jc w:val="both"/>
      </w:pPr>
      <w:r>
        <w:rPr>
          <w:rFonts w:ascii="Times New Roman"/>
          <w:b w:val="false"/>
          <w:i w:val="false"/>
          <w:color w:val="000000"/>
          <w:sz w:val="28"/>
        </w:rPr>
        <w:t>
      uz – coefficient of additional payments and surcharges for teachers, equals:</w:t>
      </w:r>
    </w:p>
    <w:p>
      <w:pPr>
        <w:spacing w:after="0"/>
        <w:ind w:left="0"/>
        <w:jc w:val="both"/>
      </w:pPr>
      <w:r>
        <w:rPr>
          <w:rFonts w:ascii="Times New Roman"/>
          <w:b w:val="false"/>
          <w:i w:val="false"/>
          <w:color w:val="000000"/>
          <w:sz w:val="28"/>
        </w:rPr>
        <w:t>
      for students in general education classes – 3.504;</w:t>
      </w:r>
    </w:p>
    <w:p>
      <w:pPr>
        <w:spacing w:after="0"/>
        <w:ind w:left="0"/>
        <w:jc w:val="both"/>
      </w:pPr>
      <w:r>
        <w:rPr>
          <w:rFonts w:ascii="Times New Roman"/>
          <w:b w:val="false"/>
          <w:i w:val="false"/>
          <w:color w:val="000000"/>
          <w:sz w:val="28"/>
        </w:rPr>
        <w:t>
      for students in special (correctional) classes and those studying at home – 3.904;</w:t>
      </w:r>
    </w:p>
    <w:p>
      <w:pPr>
        <w:spacing w:after="0"/>
        <w:ind w:left="0"/>
        <w:jc w:val="both"/>
      </w:pPr>
      <w:r>
        <w:rPr>
          <w:rFonts w:ascii="Times New Roman"/>
          <w:b w:val="false"/>
          <w:i w:val="false"/>
          <w:color w:val="000000"/>
          <w:sz w:val="28"/>
        </w:rPr>
        <w:t>
      ke1 – coefficient of additional payment for living in an environmental disaster zone in accordance with the Law on the Protection of victims of environmental disasters, for personnel participating in the educational process – 3.94.</w:t>
      </w:r>
    </w:p>
    <w:p>
      <w:pPr>
        <w:spacing w:after="0"/>
        <w:ind w:left="0"/>
        <w:jc w:val="both"/>
      </w:pPr>
      <w:r>
        <w:rPr>
          <w:rFonts w:ascii="Times New Roman"/>
          <w:b w:val="false"/>
          <w:i w:val="false"/>
          <w:color w:val="000000"/>
          <w:sz w:val="28"/>
        </w:rPr>
        <w:t>
      If this additional payment is not provided for by the Law on the Protection of victims of environmental disasters, ke1 equals 0;</w:t>
      </w:r>
    </w:p>
    <w:p>
      <w:pPr>
        <w:spacing w:after="0"/>
        <w:ind w:left="0"/>
        <w:jc w:val="both"/>
      </w:pPr>
      <w:r>
        <w:rPr>
          <w:rFonts w:ascii="Times New Roman"/>
          <w:b w:val="false"/>
          <w:i w:val="false"/>
          <w:color w:val="000000"/>
          <w:sz w:val="28"/>
        </w:rPr>
        <w:t>
      R – additional payment for living in a radiation risk zone in accordance with the Law on the Protection of victims of nuclear test sites – 1.5 MCI.</w:t>
      </w:r>
    </w:p>
    <w:p>
      <w:pPr>
        <w:spacing w:after="0"/>
        <w:ind w:left="0"/>
        <w:jc w:val="both"/>
      </w:pPr>
      <w:r>
        <w:rPr>
          <w:rFonts w:ascii="Times New Roman"/>
          <w:b w:val="false"/>
          <w:i w:val="false"/>
          <w:color w:val="000000"/>
          <w:sz w:val="28"/>
        </w:rPr>
        <w:t>
      If this additional payment is not provided for by the Law on the Protection of victims of the nuclear test site, R is equal to 0;</w:t>
      </w:r>
    </w:p>
    <w:p>
      <w:pPr>
        <w:spacing w:after="0"/>
        <w:ind w:left="0"/>
        <w:jc w:val="both"/>
      </w:pPr>
      <w:r>
        <w:rPr>
          <w:rFonts w:ascii="Times New Roman"/>
          <w:b w:val="false"/>
          <w:i w:val="false"/>
          <w:color w:val="000000"/>
          <w:sz w:val="28"/>
        </w:rPr>
        <w:t>
      7) L is the standard expenditure of the educational environment per student per year, calculated using the formula:</w:t>
      </w:r>
    </w:p>
    <w:p>
      <w:pPr>
        <w:spacing w:after="0"/>
        <w:ind w:left="0"/>
        <w:jc w:val="both"/>
      </w:pPr>
      <w:r>
        <w:rPr>
          <w:rFonts w:ascii="Times New Roman"/>
          <w:b w:val="false"/>
          <w:i w:val="false"/>
          <w:color w:val="000000"/>
          <w:sz w:val="28"/>
        </w:rPr>
        <w:t>
      L = Q + S + Р,</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the annual salary fund for personnel not involved in the educational process, calculated per student per year;</w:t>
      </w:r>
    </w:p>
    <w:p>
      <w:pPr>
        <w:spacing w:after="0"/>
        <w:ind w:left="0"/>
        <w:jc w:val="both"/>
      </w:pPr>
      <w:r>
        <w:rPr>
          <w:rFonts w:ascii="Times New Roman"/>
          <w:b w:val="false"/>
          <w:i w:val="false"/>
          <w:color w:val="000000"/>
          <w:sz w:val="28"/>
        </w:rPr>
        <w:t>
      S - the standard expenditure on the current maintenance of secondary education organizations per year per student, which is:</w:t>
      </w:r>
    </w:p>
    <w:p>
      <w:pPr>
        <w:spacing w:after="0"/>
        <w:ind w:left="0"/>
        <w:jc w:val="both"/>
      </w:pPr>
      <w:r>
        <w:rPr>
          <w:rFonts w:ascii="Times New Roman"/>
          <w:b w:val="false"/>
          <w:i w:val="false"/>
          <w:color w:val="000000"/>
          <w:sz w:val="28"/>
        </w:rPr>
        <w:t>
      for secondary education organizations in the organizational and legal form of "state institution" - 6.69 MCI (excluding utility costs and Internet costs);</w:t>
      </w:r>
    </w:p>
    <w:p>
      <w:pPr>
        <w:spacing w:after="0"/>
        <w:ind w:left="0"/>
        <w:jc w:val="both"/>
      </w:pPr>
      <w:r>
        <w:rPr>
          <w:rFonts w:ascii="Times New Roman"/>
          <w:b w:val="false"/>
          <w:i w:val="false"/>
          <w:color w:val="000000"/>
          <w:sz w:val="28"/>
        </w:rPr>
        <w:t>
      for state-owned enterprises on the right of economic management and private secondary education organizations, the S indicator varies depending on the volume of consumption of utilities, Internet services and their tariffs in the regions:</w:t>
      </w:r>
    </w:p>
    <w:p>
      <w:pPr>
        <w:spacing w:after="0"/>
        <w:ind w:left="0"/>
        <w:jc w:val="both"/>
      </w:pPr>
      <w:r>
        <w:rPr>
          <w:rFonts w:ascii="Times New Roman"/>
          <w:b w:val="false"/>
          <w:i w:val="false"/>
          <w:color w:val="000000"/>
          <w:sz w:val="28"/>
        </w:rPr>
        <w:t>
      for Atyrau, Kostanay, Mangistau regions - 10.19 MCI;</w:t>
      </w:r>
    </w:p>
    <w:p>
      <w:pPr>
        <w:spacing w:after="0"/>
        <w:ind w:left="0"/>
        <w:jc w:val="both"/>
      </w:pPr>
      <w:r>
        <w:rPr>
          <w:rFonts w:ascii="Times New Roman"/>
          <w:b w:val="false"/>
          <w:i w:val="false"/>
          <w:color w:val="000000"/>
          <w:sz w:val="28"/>
        </w:rPr>
        <w:t>
      for Aktobe, Almaty, West Kazakhstan, Karaganda, Turkestan regions, Zhetisu, Ulytau regions and the cities of Astana, Almaty and Shymkent - 11.19 MCI;</w:t>
      </w:r>
    </w:p>
    <w:p>
      <w:pPr>
        <w:spacing w:after="0"/>
        <w:ind w:left="0"/>
        <w:jc w:val="both"/>
      </w:pPr>
      <w:r>
        <w:rPr>
          <w:rFonts w:ascii="Times New Roman"/>
          <w:b w:val="false"/>
          <w:i w:val="false"/>
          <w:color w:val="000000"/>
          <w:sz w:val="28"/>
        </w:rPr>
        <w:t>
      for East Kazakhstan, Pavlodar, North Kazakhstan regions, Abay region - 12.69 MCI;</w:t>
      </w:r>
    </w:p>
    <w:p>
      <w:pPr>
        <w:spacing w:after="0"/>
        <w:ind w:left="0"/>
        <w:jc w:val="both"/>
      </w:pPr>
      <w:r>
        <w:rPr>
          <w:rFonts w:ascii="Times New Roman"/>
          <w:b w:val="false"/>
          <w:i w:val="false"/>
          <w:color w:val="000000"/>
          <w:sz w:val="28"/>
        </w:rPr>
        <w:t>
      for Akmola, Zhambyl regions - 13.19 MCI;</w:t>
      </w:r>
    </w:p>
    <w:p>
      <w:pPr>
        <w:spacing w:after="0"/>
        <w:ind w:left="0"/>
        <w:jc w:val="both"/>
      </w:pPr>
      <w:r>
        <w:rPr>
          <w:rFonts w:ascii="Times New Roman"/>
          <w:b w:val="false"/>
          <w:i w:val="false"/>
          <w:color w:val="000000"/>
          <w:sz w:val="28"/>
        </w:rPr>
        <w:t>
      for Kyzylorda region - 14.69 MCI.</w:t>
      </w:r>
    </w:p>
    <w:p>
      <w:pPr>
        <w:spacing w:after="0"/>
        <w:ind w:left="0"/>
        <w:jc w:val="both"/>
      </w:pPr>
      <w:r>
        <w:rPr>
          <w:rFonts w:ascii="Times New Roman"/>
          <w:b w:val="false"/>
          <w:i w:val="false"/>
          <w:color w:val="000000"/>
          <w:sz w:val="28"/>
        </w:rPr>
        <w:t>
      When calculating the standard of expenses for the educational environment of a student living in a boarding school at a private secondary education institution, the S indicator is multiplied by 2.</w:t>
      </w:r>
    </w:p>
    <w:p>
      <w:pPr>
        <w:spacing w:after="0"/>
        <w:ind w:left="0"/>
        <w:jc w:val="both"/>
      </w:pPr>
      <w:r>
        <w:rPr>
          <w:rFonts w:ascii="Times New Roman"/>
          <w:b w:val="false"/>
          <w:i w:val="false"/>
          <w:color w:val="000000"/>
          <w:sz w:val="28"/>
        </w:rPr>
        <w:t>
      When calculating the standard of expenses for the educational environment of home schooling, the S indicator is equal to 0.</w:t>
      </w:r>
    </w:p>
    <w:p>
      <w:pPr>
        <w:spacing w:after="0"/>
        <w:ind w:left="0"/>
        <w:jc w:val="both"/>
      </w:pPr>
      <w:r>
        <w:rPr>
          <w:rFonts w:ascii="Times New Roman"/>
          <w:b w:val="false"/>
          <w:i w:val="false"/>
          <w:color w:val="000000"/>
          <w:sz w:val="28"/>
        </w:rPr>
        <w:t>
      P - the standard of expenses for food for one student living in a boarding school at a private secondary education institution, varies depending on the prices of basic food products in the regions and is:</w:t>
      </w:r>
    </w:p>
    <w:p>
      <w:pPr>
        <w:spacing w:after="0"/>
        <w:ind w:left="0"/>
        <w:jc w:val="both"/>
      </w:pPr>
      <w:r>
        <w:rPr>
          <w:rFonts w:ascii="Times New Roman"/>
          <w:b w:val="false"/>
          <w:i w:val="false"/>
          <w:color w:val="000000"/>
          <w:sz w:val="28"/>
        </w:rPr>
        <w:t>
      for Aktobe, Zhambyl, West Kazakhstan, Kyzylorda, Pavlodar, North Kazakhstan regions - 90 MCI;</w:t>
      </w:r>
    </w:p>
    <w:p>
      <w:pPr>
        <w:spacing w:after="0"/>
        <w:ind w:left="0"/>
        <w:jc w:val="both"/>
      </w:pPr>
      <w:r>
        <w:rPr>
          <w:rFonts w:ascii="Times New Roman"/>
          <w:b w:val="false"/>
          <w:i w:val="false"/>
          <w:color w:val="000000"/>
          <w:sz w:val="28"/>
        </w:rPr>
        <w:t>
      for Akmola, Almaty, Karaganda, Kostanay, Turkestan regions, Zhetisu, Ulytau regions and the city of Shymkent - 97 MCI;</w:t>
      </w:r>
    </w:p>
    <w:p>
      <w:pPr>
        <w:spacing w:after="0"/>
        <w:ind w:left="0"/>
        <w:jc w:val="both"/>
      </w:pPr>
      <w:r>
        <w:rPr>
          <w:rFonts w:ascii="Times New Roman"/>
          <w:b w:val="false"/>
          <w:i w:val="false"/>
          <w:color w:val="000000"/>
          <w:sz w:val="28"/>
        </w:rPr>
        <w:t>
      for East Kazakhstan, Atyrau, Mangistau regions, Abay region, the cities of Astana and Almaty - 109 MCI;</w:t>
      </w:r>
    </w:p>
    <w:p>
      <w:pPr>
        <w:spacing w:after="0"/>
        <w:ind w:left="0"/>
        <w:jc w:val="both"/>
      </w:pPr>
      <w:r>
        <w:rPr>
          <w:rFonts w:ascii="Times New Roman"/>
          <w:b w:val="false"/>
          <w:i w:val="false"/>
          <w:color w:val="000000"/>
          <w:sz w:val="28"/>
        </w:rPr>
        <w:t>
      8) Q – calculated using the formula:</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осн</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sz w:val="28"/>
        </w:rPr>
        <w: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{12 * F + [БОД * (c + q) * (e + r)]} * sno * mvср,</w:t>
      </w:r>
    </w:p>
    <w:p>
      <w:pPr>
        <w:spacing w:after="0"/>
        <w:ind w:left="0"/>
        <w:jc w:val="both"/>
      </w:pPr>
      <w:r>
        <w:rPr>
          <w:rFonts w:ascii="Times New Roman"/>
          <w:b w:val="false"/>
          <w:i w:val="false"/>
          <w:color w:val="000000"/>
          <w:sz w:val="28"/>
        </w:rPr>
        <w:t>
      Qком = (БОД * с + Экомп2) * mvср,</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annual wage fund for personnel not involved in the educational process, excluding compensation payments;</w:t>
      </w:r>
    </w:p>
    <w:p>
      <w:pPr>
        <w:spacing w:after="0"/>
        <w:ind w:left="0"/>
        <w:jc w:val="both"/>
      </w:pPr>
      <w:r>
        <w:rPr>
          <w:rFonts w:ascii="Times New Roman"/>
          <w:b w:val="false"/>
          <w:i w:val="false"/>
          <w:color w:val="000000"/>
          <w:sz w:val="28"/>
        </w:rPr>
        <w:t>
      12 – number of months in a year for the transition from calculating standard costs per month to calculating standard costs per year;</w:t>
      </w:r>
    </w:p>
    <w:p>
      <w:pPr>
        <w:spacing w:after="0"/>
        <w:ind w:left="0"/>
        <w:jc w:val="both"/>
      </w:pPr>
      <w:r>
        <w:rPr>
          <w:rFonts w:ascii="Times New Roman"/>
          <w:b w:val="false"/>
          <w:i w:val="false"/>
          <w:color w:val="000000"/>
          <w:sz w:val="28"/>
        </w:rPr>
        <w:t>
      F – wage fund for personnel not involved in the educational process;</w:t>
      </w:r>
    </w:p>
    <w:p>
      <w:pPr>
        <w:spacing w:after="0"/>
        <w:ind w:left="0"/>
        <w:jc w:val="both"/>
      </w:pPr>
      <w:r>
        <w:rPr>
          <w:rFonts w:ascii="Times New Roman"/>
          <w:b w:val="false"/>
          <w:i w:val="false"/>
          <w:color w:val="000000"/>
          <w:sz w:val="28"/>
        </w:rPr>
        <w:t>
      c - the ratio of wages of qualified personnel not involved in the educational process to wages of teachers, equal to 1.11, for qualified personnel in a boarding school at a private secondary education organization or in a private boarding school c is 4.55;</w:t>
      </w:r>
    </w:p>
    <w:p>
      <w:pPr>
        <w:spacing w:after="0"/>
        <w:ind w:left="0"/>
        <w:jc w:val="both"/>
      </w:pPr>
      <w:r>
        <w:rPr>
          <w:rFonts w:ascii="Times New Roman"/>
          <w:b w:val="false"/>
          <w:i w:val="false"/>
          <w:color w:val="000000"/>
          <w:sz w:val="28"/>
        </w:rPr>
        <w:t>
      q - the ratio of wages of unskilled personnel not involved in the educational process, for whom the payment of health benefits to the annual paid labor leave of employees is not provided, equal to 1.54, for unskilled personnel in a boarding school at a private secondary education organization or in a private boarding school q is 4.63;</w:t>
      </w:r>
    </w:p>
    <w:p>
      <w:pPr>
        <w:spacing w:after="0"/>
        <w:ind w:left="0"/>
        <w:jc w:val="both"/>
      </w:pPr>
      <w:r>
        <w:rPr>
          <w:rFonts w:ascii="Times New Roman"/>
          <w:b w:val="false"/>
          <w:i w:val="false"/>
          <w:color w:val="000000"/>
          <w:sz w:val="28"/>
        </w:rPr>
        <w:t>
      mvср - the average value of the coefficients mvz, which is 0.1012;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 xml:space="preserve"> - the annual volume of expenses on the payment of health benefits to the annual paid labor leave of employees not involved in the educational process;</w:t>
      </w:r>
    </w:p>
    <w:p>
      <w:pPr>
        <w:spacing w:after="0"/>
        <w:ind w:left="0"/>
        <w:jc w:val="both"/>
      </w:pPr>
      <w:r>
        <w:rPr>
          <w:rFonts w:ascii="Times New Roman"/>
          <w:b w:val="false"/>
          <w:i w:val="false"/>
          <w:color w:val="000000"/>
          <w:sz w:val="28"/>
        </w:rPr>
        <w:t>
      Ekomp2 – financial assistance for health improvement in addition to the current payments for annual paid leave, in accordance with the Law on the Protection of victims of environmental disasters, personnel not involved in the educational process, shall be calculated using the formula:</w:t>
      </w:r>
    </w:p>
    <w:p>
      <w:pPr>
        <w:spacing w:after="0"/>
        <w:ind w:left="0"/>
        <w:jc w:val="both"/>
      </w:pPr>
      <w:r>
        <w:rPr>
          <w:rFonts w:ascii="Times New Roman"/>
          <w:b w:val="false"/>
          <w:i w:val="false"/>
          <w:color w:val="000000"/>
          <w:sz w:val="28"/>
        </w:rPr>
        <w:t>
      Ekomp2 = BDO * s,</w:t>
      </w:r>
    </w:p>
    <w:p>
      <w:pPr>
        <w:spacing w:after="0"/>
        <w:ind w:left="0"/>
        <w:jc w:val="both"/>
      </w:pPr>
      <w:r>
        <w:rPr>
          <w:rFonts w:ascii="Times New Roman"/>
          <w:b w:val="false"/>
          <w:i w:val="false"/>
          <w:color w:val="000000"/>
          <w:sz w:val="28"/>
        </w:rPr>
        <w:t>
      if this additional payment is not provided for by the Law on the Protection of victims of environmental disasters, Ekomp2 equals 0;</w:t>
      </w:r>
    </w:p>
    <w:p>
      <w:pPr>
        <w:spacing w:after="0"/>
        <w:ind w:left="0"/>
        <w:jc w:val="both"/>
      </w:pPr>
      <w:r>
        <w:rPr>
          <w:rFonts w:ascii="Times New Roman"/>
          <w:b w:val="false"/>
          <w:i w:val="false"/>
          <w:color w:val="000000"/>
          <w:sz w:val="28"/>
        </w:rPr>
        <w:t>
      9) F – the monthly salary fund for personnel not involved in the educational process is calculated using the formula:</w:t>
      </w:r>
    </w:p>
    <w:p>
      <w:pPr>
        <w:spacing w:after="0"/>
        <w:ind w:left="0"/>
        <w:jc w:val="both"/>
      </w:pPr>
      <w:r>
        <w:rPr>
          <w:rFonts w:ascii="Times New Roman"/>
          <w:b w:val="false"/>
          <w:i w:val="false"/>
          <w:color w:val="000000"/>
          <w:sz w:val="28"/>
        </w:rPr>
        <w:t>
      F = BDO * (c + q + Dou2 + ke2) + 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Dou2 – the coefficient of allowance for special working conditions of personnel not involved in the educational process is 0.265, for personnel in a boarding school at a private secondary education organization or in a private boarding school Dou2 is 0.918; </w:t>
      </w:r>
    </w:p>
    <w:p>
      <w:pPr>
        <w:spacing w:after="0"/>
        <w:ind w:left="0"/>
        <w:jc w:val="both"/>
      </w:pPr>
      <w:r>
        <w:rPr>
          <w:rFonts w:ascii="Times New Roman"/>
          <w:b w:val="false"/>
          <w:i w:val="false"/>
          <w:color w:val="000000"/>
          <w:sz w:val="28"/>
        </w:rPr>
        <w:t>
      ke2 – the additional payment coefficient for living in environmental disaster zones in accordance with the Law on the Protection of victims of environmental disasters of personnel not involved in the educational process – 0.795.</w:t>
      </w:r>
    </w:p>
    <w:p>
      <w:pPr>
        <w:spacing w:after="0"/>
        <w:ind w:left="0"/>
        <w:jc w:val="both"/>
      </w:pPr>
      <w:r>
        <w:rPr>
          <w:rFonts w:ascii="Times New Roman"/>
          <w:b w:val="false"/>
          <w:i w:val="false"/>
          <w:color w:val="000000"/>
          <w:sz w:val="28"/>
        </w:rPr>
        <w:t>
      If this additional payment is not provided for by the Law on the Protection of victims of environmental disasters, ke2 is equal to 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the order of the Minister of Education of the Republic of Kazakhstan dated 23.05.2024 № 116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Algorithm for calculating per capita normative financing of technical and vocational, post-secondary education  Paragraph 1. Indicators of calculation of per capita normative financing of technical and vocational, post-secondary education </w:t>
      </w:r>
    </w:p>
    <w:p>
      <w:pPr>
        <w:spacing w:after="0"/>
        <w:ind w:left="0"/>
        <w:jc w:val="both"/>
      </w:pPr>
      <w:r>
        <w:rPr>
          <w:rFonts w:ascii="Times New Roman"/>
          <w:b w:val="false"/>
          <w:i w:val="false"/>
          <w:color w:val="000000"/>
          <w:sz w:val="28"/>
        </w:rPr>
        <w:t xml:space="preserve">
      7. When calculating the amount of per capita normative financing of technical and vocational, post-secondary education (hereinafter referred to as TVE and VET), the following indicators are used: </w:t>
      </w:r>
    </w:p>
    <w:p>
      <w:pPr>
        <w:spacing w:after="0"/>
        <w:ind w:left="0"/>
        <w:jc w:val="both"/>
      </w:pPr>
      <w:r>
        <w:rPr>
          <w:rFonts w:ascii="Times New Roman"/>
          <w:b w:val="false"/>
          <w:i w:val="false"/>
          <w:color w:val="000000"/>
          <w:sz w:val="28"/>
        </w:rPr>
        <w:t xml:space="preserve">
      1) the number of hours per week in accordance with the state compulsory standards of education (SCSE): </w:t>
      </w:r>
    </w:p>
    <w:p>
      <w:pPr>
        <w:spacing w:after="0"/>
        <w:ind w:left="0"/>
        <w:jc w:val="both"/>
      </w:pPr>
      <w:r>
        <w:rPr>
          <w:rFonts w:ascii="Times New Roman"/>
          <w:b w:val="false"/>
          <w:i w:val="false"/>
          <w:color w:val="000000"/>
          <w:sz w:val="28"/>
        </w:rPr>
        <w:t xml:space="preserve">
      40.91 hours - the average number of hours per week for all the normative terms of mastering educational programs, with the exception of educational programs that provide individual lessons;  </w:t>
      </w:r>
    </w:p>
    <w:p>
      <w:pPr>
        <w:spacing w:after="0"/>
        <w:ind w:left="0"/>
        <w:jc w:val="both"/>
      </w:pPr>
      <w:r>
        <w:rPr>
          <w:rFonts w:ascii="Times New Roman"/>
          <w:b w:val="false"/>
          <w:i w:val="false"/>
          <w:color w:val="000000"/>
          <w:sz w:val="28"/>
        </w:rPr>
        <w:t xml:space="preserve">
      32.45 hours - the average number of hours per week for all normative terms of mastering educational programs that provide individual lessons; </w:t>
      </w:r>
    </w:p>
    <w:p>
      <w:pPr>
        <w:spacing w:after="0"/>
        <w:ind w:left="0"/>
        <w:jc w:val="both"/>
      </w:pPr>
      <w:r>
        <w:rPr>
          <w:rFonts w:ascii="Times New Roman"/>
          <w:b w:val="false"/>
          <w:i w:val="false"/>
          <w:color w:val="000000"/>
          <w:sz w:val="28"/>
        </w:rPr>
        <w:t xml:space="preserve">
      2) the number of hours per week in accordance with the Standard Curricula (hereinafter - SC2), approved by the order of the Minister of Education and Science of the Republic of Kazakhstan dated June 15, 2015 № 384 "On approval of Standard Curricula and Standard Curriculum for specialties of technical and vocational education" (Registered in the Register of state registration of regulatory legal acts under № 11690): </w:t>
      </w:r>
    </w:p>
    <w:p>
      <w:pPr>
        <w:spacing w:after="0"/>
        <w:ind w:left="0"/>
        <w:jc w:val="both"/>
      </w:pPr>
      <w:r>
        <w:rPr>
          <w:rFonts w:ascii="Times New Roman"/>
          <w:b w:val="false"/>
          <w:i w:val="false"/>
          <w:color w:val="000000"/>
          <w:sz w:val="28"/>
        </w:rPr>
        <w:t xml:space="preserve">
      7.2 hours - the average number of hours per week for laboratory work, practical exercises; </w:t>
      </w:r>
    </w:p>
    <w:p>
      <w:pPr>
        <w:spacing w:after="0"/>
        <w:ind w:left="0"/>
        <w:jc w:val="both"/>
      </w:pPr>
      <w:r>
        <w:rPr>
          <w:rFonts w:ascii="Times New Roman"/>
          <w:b w:val="false"/>
          <w:i w:val="false"/>
          <w:color w:val="000000"/>
          <w:sz w:val="28"/>
        </w:rPr>
        <w:t xml:space="preserve">
      8.46 hours - the average number of hours per week, taking into account individual lessons for all normative terms of mastering educational programs; </w:t>
      </w:r>
    </w:p>
    <w:p>
      <w:pPr>
        <w:spacing w:after="0"/>
        <w:ind w:left="0"/>
        <w:jc w:val="both"/>
      </w:pPr>
      <w:r>
        <w:rPr>
          <w:rFonts w:ascii="Times New Roman"/>
          <w:b w:val="false"/>
          <w:i w:val="false"/>
          <w:color w:val="000000"/>
          <w:sz w:val="28"/>
        </w:rPr>
        <w:t xml:space="preserve">
      3) the estimated occupancy of groups in accordance with the Standard Rules for activities of types of organizations of technical and vocational, post-secondary education, approved by the order of the Minister of Education and Science of the Republic of Kazakhstan dated September 11, 2013 № 369 "On approval of the Standard Rules for activities of types of organizations of technical and vocational, post-secondary education" (registered in the Register of state registration of regulatory legal acts under № 8828): </w:t>
      </w:r>
    </w:p>
    <w:p>
      <w:pPr>
        <w:spacing w:after="0"/>
        <w:ind w:left="0"/>
        <w:jc w:val="both"/>
      </w:pPr>
      <w:r>
        <w:rPr>
          <w:rFonts w:ascii="Times New Roman"/>
          <w:b w:val="false"/>
          <w:i w:val="false"/>
          <w:color w:val="000000"/>
          <w:sz w:val="28"/>
        </w:rPr>
        <w:t xml:space="preserve">
      25 people in full-time education; </w:t>
      </w:r>
    </w:p>
    <w:p>
      <w:pPr>
        <w:spacing w:after="0"/>
        <w:ind w:left="0"/>
        <w:jc w:val="both"/>
      </w:pPr>
      <w:r>
        <w:rPr>
          <w:rFonts w:ascii="Times New Roman"/>
          <w:b w:val="false"/>
          <w:i w:val="false"/>
          <w:color w:val="000000"/>
          <w:sz w:val="28"/>
        </w:rPr>
        <w:t xml:space="preserve">
      when carrying out laboratory work, practical exercises, including physical education, and classes in individual subjects, study groups are divided into subgroups of no more than 13 people; </w:t>
      </w:r>
    </w:p>
    <w:p>
      <w:pPr>
        <w:spacing w:after="0"/>
        <w:ind w:left="0"/>
        <w:jc w:val="both"/>
      </w:pPr>
      <w:r>
        <w:rPr>
          <w:rFonts w:ascii="Times New Roman"/>
          <w:b w:val="false"/>
          <w:i w:val="false"/>
          <w:color w:val="000000"/>
          <w:sz w:val="28"/>
        </w:rPr>
        <w:t xml:space="preserve">
      4) the normative teaching load per week, in accordance with subparagraph 2) of paragraph 3 of Article 8 of the Law on the status of a teacher, for teachers carrying out professional activities in state educational organizations: </w:t>
      </w:r>
    </w:p>
    <w:p>
      <w:pPr>
        <w:spacing w:after="0"/>
        <w:ind w:left="0"/>
        <w:jc w:val="both"/>
      </w:pPr>
      <w:r>
        <w:rPr>
          <w:rFonts w:ascii="Times New Roman"/>
          <w:b w:val="false"/>
          <w:i w:val="false"/>
          <w:color w:val="000000"/>
          <w:sz w:val="28"/>
        </w:rPr>
        <w:t xml:space="preserve">
      18 hours for educational organizations implementing educational programs for TVE and VET. </w:t>
      </w:r>
    </w:p>
    <w:p>
      <w:pPr>
        <w:spacing w:after="0"/>
        <w:ind w:left="0"/>
        <w:jc w:val="left"/>
      </w:pPr>
      <w:r>
        <w:rPr>
          <w:rFonts w:ascii="Times New Roman"/>
          <w:b/>
          <w:i w:val="false"/>
          <w:color w:val="000000"/>
        </w:rPr>
        <w:t xml:space="preserve"> Paragraph 2. Algorithm for calculating the per capita normative financing of TVE and VET </w:t>
      </w:r>
    </w:p>
    <w:p>
      <w:pPr>
        <w:spacing w:after="0"/>
        <w:ind w:left="0"/>
        <w:jc w:val="both"/>
      </w:pPr>
      <w:r>
        <w:rPr>
          <w:rFonts w:ascii="Times New Roman"/>
          <w:b w:val="false"/>
          <w:i w:val="false"/>
          <w:color w:val="000000"/>
          <w:sz w:val="28"/>
        </w:rPr>
        <w:t>
      8. Calculation of the amount of per capita standard financing of the TVE and VE and per capita financing standard shall be carried out according to the following formulas:</w:t>
      </w:r>
    </w:p>
    <w:p>
      <w:pPr>
        <w:spacing w:after="0"/>
        <w:ind w:left="0"/>
        <w:jc w:val="both"/>
      </w:pPr>
      <w:r>
        <w:rPr>
          <w:rFonts w:ascii="Times New Roman"/>
          <w:b w:val="false"/>
          <w:i w:val="false"/>
          <w:color w:val="000000"/>
          <w:sz w:val="28"/>
        </w:rPr>
        <w:t>
      1) Vпф - the annual volume of per capita standard financing of the TVE and VE organization,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Nz - per capita funding standard per student per year;</w:t>
      </w:r>
    </w:p>
    <w:p>
      <w:pPr>
        <w:spacing w:after="0"/>
        <w:ind w:left="0"/>
        <w:jc w:val="both"/>
      </w:pPr>
      <w:r>
        <w:rPr>
          <w:rFonts w:ascii="Times New Roman"/>
          <w:b w:val="false"/>
          <w:i w:val="false"/>
          <w:color w:val="000000"/>
          <w:sz w:val="28"/>
        </w:rPr>
        <w:t>
      z - training profile index by cost groups;</w:t>
      </w:r>
    </w:p>
    <w:p>
      <w:pPr>
        <w:spacing w:after="0"/>
        <w:ind w:left="0"/>
        <w:jc w:val="both"/>
      </w:pPr>
      <w:r>
        <w:rPr>
          <w:rFonts w:ascii="Times New Roman"/>
          <w:b w:val="false"/>
          <w:i w:val="false"/>
          <w:color w:val="000000"/>
          <w:sz w:val="28"/>
        </w:rPr>
        <w:t>
      Контz - the average annual contingent of students in the profile of education shall be calculated according to the following formula:</w:t>
      </w:r>
    </w:p>
    <w:p>
      <w:pPr>
        <w:spacing w:after="0"/>
        <w:ind w:left="0"/>
        <w:jc w:val="both"/>
      </w:pPr>
      <w:r>
        <w:rPr>
          <w:rFonts w:ascii="Times New Roman"/>
          <w:b w:val="false"/>
          <w:i w:val="false"/>
          <w:color w:val="000000"/>
          <w:sz w:val="28"/>
        </w:rPr>
        <w:t>
      Контz = number of students at the beginning of the year + 1/3 of admission for training - 1/2 of the expected graduation of students - expected dropout of students + expected arrival of students;</w:t>
      </w:r>
    </w:p>
    <w:p>
      <w:pPr>
        <w:spacing w:after="0"/>
        <w:ind w:left="0"/>
        <w:jc w:val="both"/>
      </w:pPr>
      <w:r>
        <w:rPr>
          <w:rFonts w:ascii="Times New Roman"/>
          <w:b w:val="false"/>
          <w:i w:val="false"/>
          <w:color w:val="000000"/>
          <w:sz w:val="28"/>
        </w:rPr>
        <w:t>
      If there are several types of education profiles in one TVE and VE organization, the amount of per capita standard funding shall be determined in total, based on the per capita funding standard per student by education profiles;</w:t>
      </w:r>
    </w:p>
    <w:p>
      <w:pPr>
        <w:spacing w:after="0"/>
        <w:ind w:left="0"/>
        <w:jc w:val="both"/>
      </w:pPr>
      <w:r>
        <w:rPr>
          <w:rFonts w:ascii="Times New Roman"/>
          <w:b w:val="false"/>
          <w:i w:val="false"/>
          <w:color w:val="000000"/>
          <w:sz w:val="28"/>
        </w:rPr>
        <w:t>
      2) Nz - per capita funding standard per student per year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Ez - the rate of expenses of the educational process per student per year.</w:t>
      </w:r>
    </w:p>
    <w:p>
      <w:pPr>
        <w:spacing w:after="0"/>
        <w:ind w:left="0"/>
        <w:jc w:val="both"/>
      </w:pPr>
      <w:r>
        <w:rPr>
          <w:rFonts w:ascii="Times New Roman"/>
          <w:b w:val="false"/>
          <w:i w:val="false"/>
          <w:color w:val="000000"/>
          <w:sz w:val="28"/>
        </w:rPr>
        <w:t>
      Ez for a student with special educational needs shall be multiplied by 2;</w:t>
      </w:r>
    </w:p>
    <w:p>
      <w:pPr>
        <w:spacing w:after="0"/>
        <w:ind w:left="0"/>
        <w:jc w:val="both"/>
      </w:pPr>
      <w:r>
        <w:rPr>
          <w:rFonts w:ascii="Times New Roman"/>
          <w:b w:val="false"/>
          <w:i w:val="false"/>
          <w:color w:val="000000"/>
          <w:sz w:val="28"/>
        </w:rPr>
        <w:t>
      L - the rate of expenses of the educational environment per student per year;</w:t>
      </w:r>
    </w:p>
    <w:p>
      <w:pPr>
        <w:spacing w:after="0"/>
        <w:ind w:left="0"/>
        <w:jc w:val="both"/>
      </w:pPr>
      <w:r>
        <w:rPr>
          <w:rFonts w:ascii="Times New Roman"/>
          <w:b w:val="false"/>
          <w:i w:val="false"/>
          <w:color w:val="000000"/>
          <w:sz w:val="28"/>
        </w:rPr>
        <w:t>
      3) Ez - the rate of expenses of the educational process in terms of education profiles per student per year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annual remuneration fund for management personnel and teachers involved in the educational process, per student per year;</w:t>
      </w:r>
    </w:p>
    <w:p>
      <w:pPr>
        <w:spacing w:after="0"/>
        <w:ind w:left="0"/>
        <w:jc w:val="both"/>
      </w:pPr>
      <w:r>
        <w:rPr>
          <w:rFonts w:ascii="Times New Roman"/>
          <w:b w:val="false"/>
          <w:i w:val="false"/>
          <w:color w:val="000000"/>
          <w:sz w:val="28"/>
        </w:rPr>
        <w:t>
      Y - textbooks, educational and methodological literature and manuals, per year per student, which make up 5 MCR;</w:t>
      </w:r>
    </w:p>
    <w:p>
      <w:pPr>
        <w:spacing w:after="0"/>
        <w:ind w:left="0"/>
        <w:jc w:val="both"/>
      </w:pPr>
      <w:r>
        <w:rPr>
          <w:rFonts w:ascii="Times New Roman"/>
          <w:b w:val="false"/>
          <w:i w:val="false"/>
          <w:color w:val="000000"/>
          <w:sz w:val="28"/>
        </w:rPr>
        <w:t>
      Xz - training expenses related to the educational process, including during industrial training and professional practice, per year per student. Xz values ​ ​ shall be determined in accordance with the order of the Minister of Education and Science of the Republic of Kazakhstan dated September 27, 2018 № 500 "On approval of the classifier of specialties and qualifications of technical and professional, post-secondary education" (registered in the Register of State Registration of Regulatory Legal Acts under № 17564), and shall be:</w:t>
      </w:r>
    </w:p>
    <w:p>
      <w:pPr>
        <w:spacing w:after="0"/>
        <w:ind w:left="0"/>
        <w:jc w:val="both"/>
      </w:pPr>
      <w:r>
        <w:rPr>
          <w:rFonts w:ascii="Times New Roman"/>
          <w:b w:val="false"/>
          <w:i w:val="false"/>
          <w:color w:val="000000"/>
          <w:sz w:val="28"/>
        </w:rPr>
        <w:t>
      group A (Education: Training of teachers for preschool institutions, Training of teachers without subject specialization, Training of teachers with subject specialization, with the exception of vocational training; Arts and Humanities: Visual Arts: Calligraphy, Religion and Theology; Social Sciences and Information: Librarianship, Information Processing and Archival; Business, Management and Law: Law; Engineering, processing and construction industries: Metrology, standardization and certification) - 6 MCR;</w:t>
      </w:r>
    </w:p>
    <w:p>
      <w:pPr>
        <w:spacing w:after="0"/>
        <w:ind w:left="0"/>
        <w:jc w:val="both"/>
      </w:pPr>
      <w:r>
        <w:rPr>
          <w:rFonts w:ascii="Times New Roman"/>
          <w:b w:val="false"/>
          <w:i w:val="false"/>
          <w:color w:val="000000"/>
          <w:sz w:val="28"/>
        </w:rPr>
        <w:t>
      group B (Education: vocational training; Arts and Humanities: Language Studies, Audiovisual Aids and Media Production; Business, Management and Law: all except Right; Science, Mathematics and Statistics; Information and communication technologies; Engineering, processing and construction industries: Mechanics and metalworking: Metalworking; Electronics and Automation; Installation, maintenance and repair of medical equipment, Digital equipment; Agriculture, Forestry, Fisheries and Veterinary Science; Health and social security: Social work and counselling; Services: with the exception of specialties Catering, Tourism and Destination Management) - 8 MCR;</w:t>
      </w:r>
    </w:p>
    <w:p>
      <w:pPr>
        <w:spacing w:after="0"/>
        <w:ind w:left="0"/>
        <w:jc w:val="both"/>
      </w:pPr>
      <w:r>
        <w:rPr>
          <w:rFonts w:ascii="Times New Roman"/>
          <w:b w:val="false"/>
          <w:i w:val="false"/>
          <w:color w:val="000000"/>
          <w:sz w:val="28"/>
        </w:rPr>
        <w:t>
      Group C (Arts and Humanities: Fashion, Interior Design and Industrial Design, Craft Production: Restoration, Jewellery, Music and Theatre: Social and Cultural Activities, Folk Art; Science, Mathematics and Statistics: All except majors Mathematics and Statistics; Engineering, processing and construction industries: all with the exception of the specialties Metrology, standardization and certification, Metalworking, Installation, maintenance and repair of medical equipment, Digital equipment, Electrical installation of marine equipment; Services: all, including the specialty Catering, with the exception of the specialties Tourism and Military Affairs and Security) - 19 MCR;</w:t>
      </w:r>
    </w:p>
    <w:p>
      <w:pPr>
        <w:spacing w:after="0"/>
        <w:ind w:left="0"/>
        <w:jc w:val="both"/>
      </w:pPr>
      <w:r>
        <w:rPr>
          <w:rFonts w:ascii="Times New Roman"/>
          <w:b w:val="false"/>
          <w:i w:val="false"/>
          <w:color w:val="000000"/>
          <w:sz w:val="28"/>
        </w:rPr>
        <w:t>
      Group D (Engineering, processing and construction industries: Operation of water transport; Motor vehicles, sea and aircraft: electric radio installation of marine equipment) - 44 MCR;</w:t>
      </w:r>
    </w:p>
    <w:p>
      <w:pPr>
        <w:spacing w:after="0"/>
        <w:ind w:left="0"/>
        <w:jc w:val="both"/>
      </w:pPr>
      <w:r>
        <w:rPr>
          <w:rFonts w:ascii="Times New Roman"/>
          <w:b w:val="false"/>
          <w:i w:val="false"/>
          <w:color w:val="000000"/>
          <w:sz w:val="28"/>
        </w:rPr>
        <w:t>
      4) T shall be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Tосн. - annual remuneration fund for management personnel and teachers involved in the educational process, organization of TVE and VE (taking into account laboratory work and practical, individual classes), excluding compensation payments;</w:t>
      </w:r>
    </w:p>
    <w:p>
      <w:pPr>
        <w:spacing w:after="0"/>
        <w:ind w:left="0"/>
        <w:jc w:val="both"/>
      </w:pPr>
      <w:r>
        <w:rPr>
          <w:rFonts w:ascii="Times New Roman"/>
          <w:b w:val="false"/>
          <w:i w:val="false"/>
          <w:color w:val="000000"/>
          <w:sz w:val="28"/>
        </w:rPr>
        <w:t>
      Tкомп. - annual amount of expenses for the payment of rehabilitation benefits for the annual paid labor leave of employees of the TVE and VE organization;</w:t>
      </w:r>
    </w:p>
    <w:p>
      <w:pPr>
        <w:spacing w:after="0"/>
        <w:ind w:left="0"/>
        <w:jc w:val="both"/>
      </w:pPr>
      <w:r>
        <w:rPr>
          <w:rFonts w:ascii="Times New Roman"/>
          <w:b w:val="false"/>
          <w:i w:val="false"/>
          <w:color w:val="000000"/>
          <w:sz w:val="28"/>
        </w:rPr>
        <w:t>
      12 - number of months per year for transition from calculation of standard costs per month to calculation of standard costs per year;</w:t>
      </w:r>
    </w:p>
    <w:p>
      <w:pPr>
        <w:spacing w:after="0"/>
        <w:ind w:left="0"/>
        <w:jc w:val="both"/>
      </w:pPr>
      <w:r>
        <w:rPr>
          <w:rFonts w:ascii="Times New Roman"/>
          <w:b w:val="false"/>
          <w:i w:val="false"/>
          <w:color w:val="000000"/>
          <w:sz w:val="28"/>
        </w:rPr>
        <w:t>
      W - remuneration fund for teachers and management personnel of the organization TVE and VE per month;</w:t>
      </w:r>
    </w:p>
    <w:p>
      <w:pPr>
        <w:spacing w:after="0"/>
        <w:ind w:left="0"/>
        <w:jc w:val="both"/>
      </w:pPr>
      <w:r>
        <w:rPr>
          <w:rFonts w:ascii="Times New Roman"/>
          <w:b w:val="false"/>
          <w:i w:val="false"/>
          <w:color w:val="000000"/>
          <w:sz w:val="28"/>
        </w:rPr>
        <w:t>
      e - the coefficient of additional paid leave for living in environmental disaster zones in accordance with the Law on the protection of victims of environmental disaster - 0.30.</w:t>
      </w:r>
    </w:p>
    <w:p>
      <w:pPr>
        <w:spacing w:after="0"/>
        <w:ind w:left="0"/>
        <w:jc w:val="both"/>
      </w:pPr>
      <w:r>
        <w:rPr>
          <w:rFonts w:ascii="Times New Roman"/>
          <w:b w:val="false"/>
          <w:i w:val="false"/>
          <w:color w:val="000000"/>
          <w:sz w:val="28"/>
        </w:rPr>
        <w:t xml:space="preserve">
      If this surcharge is not provided for by the environmental disaster protection Law, </w:t>
      </w:r>
      <w:r>
        <w:rPr>
          <w:rFonts w:ascii="Times New Roman"/>
          <w:b/>
          <w:i w:val="false"/>
          <w:color w:val="000000"/>
          <w:sz w:val="28"/>
        </w:rPr>
        <w:t>e</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r - coefficient of additional payment of annual additional paid leave for living in the radiation risk zone in accordance with the Law on the Protection of victims at the nuclear test site - 0.33.</w:t>
      </w:r>
    </w:p>
    <w:p>
      <w:pPr>
        <w:spacing w:after="0"/>
        <w:ind w:left="0"/>
        <w:jc w:val="both"/>
      </w:pPr>
      <w:r>
        <w:rPr>
          <w:rFonts w:ascii="Times New Roman"/>
          <w:b w:val="false"/>
          <w:i w:val="false"/>
          <w:color w:val="000000"/>
          <w:sz w:val="28"/>
        </w:rPr>
        <w:t xml:space="preserve">
      If this surcharge is not provided for by the Law on the protection of victims at a nuclear test site, </w:t>
      </w:r>
      <w:r>
        <w:rPr>
          <w:rFonts w:ascii="Times New Roman"/>
          <w:b/>
          <w:i w:val="false"/>
          <w:color w:val="000000"/>
          <w:sz w:val="28"/>
        </w:rPr>
        <w:t>r</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sno - coefficient of social tax and social contributions - 1.0855;</w:t>
      </w:r>
    </w:p>
    <w:p>
      <w:pPr>
        <w:spacing w:after="0"/>
        <w:ind w:left="0"/>
        <w:jc w:val="both"/>
      </w:pPr>
      <w:r>
        <w:rPr>
          <w:rFonts w:ascii="Times New Roman"/>
          <w:b w:val="false"/>
          <w:i w:val="false"/>
          <w:color w:val="000000"/>
          <w:sz w:val="28"/>
        </w:rPr>
        <w:t>
      mp - coefficient of employer's contributions to the compulsory health insurance fund:</w:t>
      </w:r>
    </w:p>
    <w:p>
      <w:pPr>
        <w:spacing w:after="0"/>
        <w:ind w:left="0"/>
        <w:jc w:val="both"/>
      </w:pPr>
      <w:r>
        <w:rPr>
          <w:rFonts w:ascii="Times New Roman"/>
          <w:b w:val="false"/>
          <w:i w:val="false"/>
          <w:color w:val="000000"/>
          <w:sz w:val="28"/>
        </w:rPr>
        <w:t>
      2020 - 1.02;</w:t>
      </w:r>
    </w:p>
    <w:p>
      <w:pPr>
        <w:spacing w:after="0"/>
        <w:ind w:left="0"/>
        <w:jc w:val="both"/>
      </w:pPr>
      <w:r>
        <w:rPr>
          <w:rFonts w:ascii="Times New Roman"/>
          <w:b w:val="false"/>
          <w:i w:val="false"/>
          <w:color w:val="000000"/>
          <w:sz w:val="28"/>
        </w:rPr>
        <w:t>
      2021 - 1.02;</w:t>
      </w:r>
    </w:p>
    <w:p>
      <w:pPr>
        <w:spacing w:after="0"/>
        <w:ind w:left="0"/>
        <w:jc w:val="both"/>
      </w:pPr>
      <w:r>
        <w:rPr>
          <w:rFonts w:ascii="Times New Roman"/>
          <w:b w:val="false"/>
          <w:i w:val="false"/>
          <w:color w:val="000000"/>
          <w:sz w:val="28"/>
        </w:rPr>
        <w:t>
      2022 and subsequent years - 1.03;</w:t>
      </w:r>
    </w:p>
    <w:p>
      <w:pPr>
        <w:spacing w:after="0"/>
        <w:ind w:left="0"/>
        <w:jc w:val="both"/>
      </w:pPr>
      <w:r>
        <w:rPr>
          <w:rFonts w:ascii="Times New Roman"/>
          <w:b w:val="false"/>
          <w:i w:val="false"/>
          <w:color w:val="000000"/>
          <w:sz w:val="28"/>
        </w:rPr>
        <w:t>
      mv - the hourly-learner ratio (the ratio of the number of training hours to one learner taking into account the standard training load), which depends on the estimated occupancy of the groups;</w:t>
      </w:r>
    </w:p>
    <w:p>
      <w:pPr>
        <w:spacing w:after="0"/>
        <w:ind w:left="0"/>
        <w:jc w:val="both"/>
      </w:pPr>
      <w:r>
        <w:rPr>
          <w:rFonts w:ascii="Times New Roman"/>
          <w:b w:val="false"/>
          <w:i w:val="false"/>
          <w:color w:val="000000"/>
          <w:sz w:val="28"/>
        </w:rPr>
        <w:t>
      mvg - the coefficient of the hour-learner (the ratio of the number of training hours to one learner, taking into account the conduct of laboratory work and practical exercises);</w:t>
      </w:r>
    </w:p>
    <w:p>
      <w:pPr>
        <w:spacing w:after="0"/>
        <w:ind w:left="0"/>
        <w:jc w:val="both"/>
      </w:pPr>
      <w:r>
        <w:rPr>
          <w:rFonts w:ascii="Times New Roman"/>
          <w:b w:val="false"/>
          <w:i w:val="false"/>
          <w:color w:val="000000"/>
          <w:sz w:val="28"/>
        </w:rPr>
        <w:t>
      g - index of laboratory works and practical exercises;</w:t>
      </w:r>
    </w:p>
    <w:p>
      <w:pPr>
        <w:spacing w:after="0"/>
        <w:ind w:left="0"/>
        <w:jc w:val="both"/>
      </w:pPr>
      <w:r>
        <w:rPr>
          <w:rFonts w:ascii="Times New Roman"/>
          <w:b w:val="false"/>
          <w:i w:val="false"/>
          <w:color w:val="000000"/>
          <w:sz w:val="28"/>
        </w:rPr>
        <w:t>
      mvi - the coefficient of the hour-learner (the ratio of the number of individual hours per learner to the standard training load);</w:t>
      </w:r>
    </w:p>
    <w:p>
      <w:pPr>
        <w:spacing w:after="0"/>
        <w:ind w:left="0"/>
        <w:jc w:val="both"/>
      </w:pPr>
      <w:r>
        <w:rPr>
          <w:rFonts w:ascii="Times New Roman"/>
          <w:b w:val="false"/>
          <w:i w:val="false"/>
          <w:color w:val="000000"/>
          <w:sz w:val="28"/>
        </w:rPr>
        <w:t>
      Экомп1 - material assistance for rehabilitation in excess of existing payments for annual paid labor leave, in accordance with the Law on the protection of victims of environmental disaster to teachers and management personnel involved in the educational process,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that this surcharge shall not be provided for by the environmental disaster protection Law, Экомп</w:t>
      </w:r>
      <w:r>
        <w:rPr>
          <w:rFonts w:ascii="Times New Roman"/>
          <w:b w:val="false"/>
          <w:i w:val="false"/>
          <w:color w:val="000000"/>
          <w:vertAlign w:val="superscript"/>
        </w:rPr>
        <w:t>1</w:t>
      </w:r>
      <w:r>
        <w:rPr>
          <w:rFonts w:ascii="Times New Roman"/>
          <w:b w:val="false"/>
          <w:i w:val="false"/>
          <w:color w:val="000000"/>
          <w:sz w:val="28"/>
        </w:rPr>
        <w:t xml:space="preserve"> shall be equal to 0;</w:t>
      </w:r>
    </w:p>
    <w:p>
      <w:pPr>
        <w:spacing w:after="0"/>
        <w:ind w:left="0"/>
        <w:jc w:val="both"/>
      </w:pPr>
      <w:r>
        <w:rPr>
          <w:rFonts w:ascii="Times New Roman"/>
          <w:b w:val="false"/>
          <w:i w:val="false"/>
          <w:color w:val="000000"/>
          <w:sz w:val="28"/>
        </w:rPr>
        <w:t>
      5) W - the remuneration fund of teachers and management personnel involved in the educational process shall be calculated per month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ДО - the official salary of the main personnel participating in the educational process per month is determined by multiplying the БДО by a coefficient of 5.03;</w:t>
      </w:r>
    </w:p>
    <w:p>
      <w:pPr>
        <w:spacing w:after="0"/>
        <w:ind w:left="0"/>
        <w:jc w:val="both"/>
      </w:pPr>
      <w:r>
        <w:rPr>
          <w:rFonts w:ascii="Times New Roman"/>
          <w:b w:val="false"/>
          <w:i w:val="false"/>
          <w:color w:val="000000"/>
          <w:sz w:val="28"/>
        </w:rPr>
        <w:t>
      ks - the coefficient of additional payments to specialists for work in rural areas shall be:</w:t>
      </w:r>
    </w:p>
    <w:p>
      <w:pPr>
        <w:spacing w:after="0"/>
        <w:ind w:left="0"/>
        <w:jc w:val="both"/>
      </w:pPr>
      <w:r>
        <w:rPr>
          <w:rFonts w:ascii="Times New Roman"/>
          <w:b w:val="false"/>
          <w:i w:val="false"/>
          <w:color w:val="000000"/>
          <w:sz w:val="28"/>
        </w:rPr>
        <w:t>
      for the city organization of TVE and VE - 1;</w:t>
      </w:r>
    </w:p>
    <w:p>
      <w:pPr>
        <w:spacing w:after="0"/>
        <w:ind w:left="0"/>
        <w:jc w:val="both"/>
      </w:pPr>
      <w:r>
        <w:rPr>
          <w:rFonts w:ascii="Times New Roman"/>
          <w:b w:val="false"/>
          <w:i w:val="false"/>
          <w:color w:val="000000"/>
          <w:sz w:val="28"/>
        </w:rPr>
        <w:t>
      for the rural organization of TVE and VE - 1.25;</w:t>
      </w:r>
    </w:p>
    <w:p>
      <w:pPr>
        <w:spacing w:after="0"/>
        <w:ind w:left="0"/>
        <w:jc w:val="both"/>
      </w:pPr>
      <w:r>
        <w:rPr>
          <w:rFonts w:ascii="Times New Roman"/>
          <w:b w:val="false"/>
          <w:i w:val="false"/>
          <w:color w:val="000000"/>
          <w:sz w:val="28"/>
        </w:rPr>
        <w:t>
      f - coefficient of payroll calculation for management personnel involved in the educational process - 1.084;</w:t>
      </w:r>
    </w:p>
    <w:p>
      <w:pPr>
        <w:spacing w:after="0"/>
        <w:ind w:left="0"/>
        <w:jc w:val="both"/>
      </w:pPr>
      <w:r>
        <w:rPr>
          <w:rFonts w:ascii="Times New Roman"/>
          <w:b w:val="false"/>
          <w:i w:val="false"/>
          <w:color w:val="000000"/>
          <w:sz w:val="28"/>
        </w:rPr>
        <w:t>
      Доу1 - the coefficient of allowance for special working conditions of personnel participating in the educational process - 0.611;</w:t>
      </w:r>
    </w:p>
    <w:p>
      <w:pPr>
        <w:spacing w:after="0"/>
        <w:ind w:left="0"/>
        <w:jc w:val="both"/>
      </w:pPr>
      <w:r>
        <w:rPr>
          <w:rFonts w:ascii="Times New Roman"/>
          <w:b w:val="false"/>
          <w:i w:val="false"/>
          <w:color w:val="000000"/>
          <w:sz w:val="28"/>
        </w:rPr>
        <w:t>
      u - coefficient of additional payments to teachers and masters of industrial training:</w:t>
      </w:r>
    </w:p>
    <w:p>
      <w:pPr>
        <w:spacing w:after="0"/>
        <w:ind w:left="0"/>
        <w:jc w:val="both"/>
      </w:pPr>
      <w:r>
        <w:rPr>
          <w:rFonts w:ascii="Times New Roman"/>
          <w:b w:val="false"/>
          <w:i w:val="false"/>
          <w:color w:val="000000"/>
          <w:sz w:val="28"/>
        </w:rPr>
        <w:t>
      until August 31, 2020 - 0.499;</w:t>
      </w:r>
    </w:p>
    <w:p>
      <w:pPr>
        <w:spacing w:after="0"/>
        <w:ind w:left="0"/>
        <w:jc w:val="both"/>
      </w:pPr>
      <w:r>
        <w:rPr>
          <w:rFonts w:ascii="Times New Roman"/>
          <w:b w:val="false"/>
          <w:i w:val="false"/>
          <w:color w:val="000000"/>
          <w:sz w:val="28"/>
        </w:rPr>
        <w:t>
      from September 1, 2020 - 0.571;</w:t>
      </w:r>
    </w:p>
    <w:p>
      <w:pPr>
        <w:spacing w:after="0"/>
        <w:ind w:left="0"/>
        <w:jc w:val="both"/>
      </w:pPr>
      <w:r>
        <w:rPr>
          <w:rFonts w:ascii="Times New Roman"/>
          <w:b w:val="false"/>
          <w:i w:val="false"/>
          <w:color w:val="000000"/>
          <w:sz w:val="28"/>
        </w:rPr>
        <w:t>
      ke1 - the surcharge factor for living in an environmental disaster zone in accordance with the Law on the protection of victims due to environmental disaster of personnel involved in the educational process - 1.83.</w:t>
      </w:r>
    </w:p>
    <w:p>
      <w:pPr>
        <w:spacing w:after="0"/>
        <w:ind w:left="0"/>
        <w:jc w:val="both"/>
      </w:pPr>
      <w:r>
        <w:rPr>
          <w:rFonts w:ascii="Times New Roman"/>
          <w:b w:val="false"/>
          <w:i w:val="false"/>
          <w:color w:val="000000"/>
          <w:sz w:val="28"/>
        </w:rPr>
        <w:t>
      In the event that this surcharge shall not be provided for by the environmental disaster protection Law, the factor, ke1, is 0;</w:t>
      </w:r>
    </w:p>
    <w:p>
      <w:pPr>
        <w:spacing w:after="0"/>
        <w:ind w:left="0"/>
        <w:jc w:val="both"/>
      </w:pPr>
      <w:r>
        <w:rPr>
          <w:rFonts w:ascii="Times New Roman"/>
          <w:b w:val="false"/>
          <w:i w:val="false"/>
          <w:color w:val="000000"/>
          <w:sz w:val="28"/>
        </w:rPr>
        <w:t>
      R - additional payment for living in a radiation risk zone in accordance with the Law on the protection of victims at a nuclear test site - 1.5 MCR.</w:t>
      </w:r>
    </w:p>
    <w:p>
      <w:pPr>
        <w:spacing w:after="0"/>
        <w:ind w:left="0"/>
        <w:jc w:val="both"/>
      </w:pPr>
      <w:r>
        <w:rPr>
          <w:rFonts w:ascii="Times New Roman"/>
          <w:b w:val="false"/>
          <w:i w:val="false"/>
          <w:color w:val="000000"/>
          <w:sz w:val="28"/>
        </w:rPr>
        <w:t>
      If this surcharge is not provided for by the Law on the protection of victims at a nuclear test site, R shall be equal to 0;</w:t>
      </w:r>
    </w:p>
    <w:p>
      <w:pPr>
        <w:spacing w:after="0"/>
        <w:ind w:left="0"/>
        <w:jc w:val="both"/>
      </w:pPr>
      <w:r>
        <w:rPr>
          <w:rFonts w:ascii="Times New Roman"/>
          <w:b w:val="false"/>
          <w:i w:val="false"/>
          <w:color w:val="000000"/>
          <w:sz w:val="28"/>
        </w:rPr>
        <w:t>
      6) mv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mvg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mvi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2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 - number of hours per week according to TEP and software;</w:t>
      </w:r>
    </w:p>
    <w:p>
      <w:pPr>
        <w:spacing w:after="0"/>
        <w:ind w:left="0"/>
        <w:jc w:val="both"/>
      </w:pPr>
      <w:r>
        <w:rPr>
          <w:rFonts w:ascii="Times New Roman"/>
          <w:b w:val="false"/>
          <w:i w:val="false"/>
          <w:color w:val="000000"/>
          <w:sz w:val="28"/>
        </w:rPr>
        <w:t>
      tg - the number of hours of laboratory work and practical training per week according to TEP 2;</w:t>
      </w:r>
    </w:p>
    <w:p>
      <w:pPr>
        <w:spacing w:after="0"/>
        <w:ind w:left="0"/>
        <w:jc w:val="both"/>
      </w:pPr>
      <w:r>
        <w:rPr>
          <w:rFonts w:ascii="Times New Roman"/>
          <w:b w:val="false"/>
          <w:i w:val="false"/>
          <w:color w:val="000000"/>
          <w:sz w:val="28"/>
        </w:rPr>
        <w:t>
      ti – the number of individual hours per week according to TEP 2;</w:t>
      </w:r>
    </w:p>
    <w:p>
      <w:pPr>
        <w:spacing w:after="0"/>
        <w:ind w:left="0"/>
        <w:jc w:val="both"/>
      </w:pPr>
      <w:r>
        <w:rPr>
          <w:rFonts w:ascii="Times New Roman"/>
          <w:b w:val="false"/>
          <w:i w:val="false"/>
          <w:color w:val="000000"/>
          <w:sz w:val="28"/>
        </w:rPr>
        <w:t>
      i - index of individual studies;</w:t>
      </w:r>
    </w:p>
    <w:p>
      <w:pPr>
        <w:spacing w:after="0"/>
        <w:ind w:left="0"/>
        <w:jc w:val="both"/>
      </w:pPr>
      <w:r>
        <w:rPr>
          <w:rFonts w:ascii="Times New Roman"/>
          <w:b w:val="false"/>
          <w:i w:val="false"/>
          <w:color w:val="000000"/>
          <w:sz w:val="28"/>
        </w:rPr>
        <w:t>
      n - standard training load per week;</w:t>
      </w:r>
    </w:p>
    <w:p>
      <w:pPr>
        <w:spacing w:after="0"/>
        <w:ind w:left="0"/>
        <w:jc w:val="both"/>
      </w:pPr>
      <w:r>
        <w:rPr>
          <w:rFonts w:ascii="Times New Roman"/>
          <w:b w:val="false"/>
          <w:i w:val="false"/>
          <w:color w:val="000000"/>
          <w:sz w:val="28"/>
        </w:rPr>
        <w:t>
      d - design filling capacity of groups;</w:t>
      </w:r>
    </w:p>
    <w:p>
      <w:pPr>
        <w:spacing w:after="0"/>
        <w:ind w:left="0"/>
        <w:jc w:val="both"/>
      </w:pPr>
      <w:r>
        <w:rPr>
          <w:rFonts w:ascii="Times New Roman"/>
          <w:b w:val="false"/>
          <w:i w:val="false"/>
          <w:color w:val="000000"/>
          <w:sz w:val="28"/>
        </w:rPr>
        <w:t>
      dg - filling of groups during laboratory work and practical exercises.</w:t>
      </w:r>
    </w:p>
    <w:p>
      <w:pPr>
        <w:spacing w:after="0"/>
        <w:ind w:left="0"/>
        <w:jc w:val="both"/>
      </w:pPr>
      <w:r>
        <w:rPr>
          <w:rFonts w:ascii="Times New Roman"/>
          <w:b w:val="false"/>
          <w:i w:val="false"/>
          <w:color w:val="000000"/>
          <w:sz w:val="28"/>
        </w:rPr>
        <w:t>
      When calculating mvi, for individual hours, d shall be equal to 1.</w:t>
      </w:r>
    </w:p>
    <w:p>
      <w:pPr>
        <w:spacing w:after="0"/>
        <w:ind w:left="0"/>
        <w:jc w:val="both"/>
      </w:pPr>
      <w:r>
        <w:rPr>
          <w:rFonts w:ascii="Times New Roman"/>
          <w:b w:val="false"/>
          <w:i w:val="false"/>
          <w:color w:val="000000"/>
          <w:sz w:val="28"/>
        </w:rPr>
        <w:t>
      If there are no individual hours in the curriculum, mvi shall be equal to 0;</w:t>
      </w:r>
    </w:p>
    <w:p>
      <w:pPr>
        <w:spacing w:after="0"/>
        <w:ind w:left="0"/>
        <w:jc w:val="both"/>
      </w:pPr>
      <w:r>
        <w:rPr>
          <w:rFonts w:ascii="Times New Roman"/>
          <w:b w:val="false"/>
          <w:i w:val="false"/>
          <w:color w:val="000000"/>
          <w:sz w:val="28"/>
        </w:rPr>
        <w:t>
      7) Dual - expenses transferred by TVE and VE organizations to enterprises (organizations) during dual training shall be calculated within the scope of per capita regulatory financing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Zp - the rate of remuneration for industrial training masters per student, which shall be 2.7 БДО;</w:t>
      </w:r>
    </w:p>
    <w:p>
      <w:pPr>
        <w:spacing w:after="0"/>
        <w:ind w:left="0"/>
        <w:jc w:val="both"/>
      </w:pPr>
      <w:r>
        <w:rPr>
          <w:rFonts w:ascii="Times New Roman"/>
          <w:b w:val="false"/>
          <w:i w:val="false"/>
          <w:color w:val="000000"/>
          <w:sz w:val="28"/>
        </w:rPr>
        <w:t>
      b - the average planned number of hours of industrial training and professional practice in dual training, which shall be 1013 hours per year;</w:t>
      </w:r>
    </w:p>
    <w:p>
      <w:pPr>
        <w:spacing w:after="0"/>
        <w:ind w:left="0"/>
        <w:jc w:val="both"/>
      </w:pPr>
      <w:r>
        <w:rPr>
          <w:rFonts w:ascii="Times New Roman"/>
          <w:b w:val="false"/>
          <w:i w:val="false"/>
          <w:color w:val="000000"/>
          <w:sz w:val="28"/>
        </w:rPr>
        <w:t>
      Chf - the actual number of hours of industrial training and professional practice in dual training;</w:t>
      </w:r>
    </w:p>
    <w:p>
      <w:pPr>
        <w:spacing w:after="0"/>
        <w:ind w:left="0"/>
        <w:jc w:val="both"/>
      </w:pPr>
      <w:r>
        <w:rPr>
          <w:rFonts w:ascii="Times New Roman"/>
          <w:b w:val="false"/>
          <w:i w:val="false"/>
          <w:color w:val="000000"/>
          <w:sz w:val="28"/>
        </w:rPr>
        <w:t>
      Ky - the actual number of students undergoing industrial training and professional practice at a given enterprise (organization).</w:t>
      </w:r>
    </w:p>
    <w:p>
      <w:pPr>
        <w:spacing w:after="0"/>
        <w:ind w:left="0"/>
        <w:jc w:val="both"/>
      </w:pPr>
      <w:r>
        <w:rPr>
          <w:rFonts w:ascii="Times New Roman"/>
          <w:b w:val="false"/>
          <w:i w:val="false"/>
          <w:color w:val="000000"/>
          <w:sz w:val="28"/>
        </w:rPr>
        <w:t>
      The requirements of this sub-paragraph shall not apply to enterprises (organizations) that bear the costs of dual training themselves;</w:t>
      </w:r>
    </w:p>
    <w:p>
      <w:pPr>
        <w:spacing w:after="0"/>
        <w:ind w:left="0"/>
        <w:jc w:val="both"/>
      </w:pPr>
      <w:r>
        <w:rPr>
          <w:rFonts w:ascii="Times New Roman"/>
          <w:b w:val="false"/>
          <w:i w:val="false"/>
          <w:color w:val="000000"/>
          <w:sz w:val="28"/>
        </w:rPr>
        <w:t>
      8) L - the rate of expenses of the educational environment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annual remuneration fund for personnel not involved in the educational process, per student per year;</w:t>
      </w:r>
    </w:p>
    <w:p>
      <w:pPr>
        <w:spacing w:after="0"/>
        <w:ind w:left="0"/>
        <w:jc w:val="both"/>
      </w:pPr>
      <w:r>
        <w:rPr>
          <w:rFonts w:ascii="Times New Roman"/>
          <w:b w:val="false"/>
          <w:i w:val="false"/>
          <w:color w:val="000000"/>
          <w:sz w:val="28"/>
        </w:rPr>
        <w:t>
      S - the rate of expenses for the current maintenance of TVE and VE organizations per year per student, which differs depending on the volume of consumption of utilities, Internet services and their tariffs in the regions:</w:t>
      </w:r>
    </w:p>
    <w:p>
      <w:pPr>
        <w:spacing w:after="0"/>
        <w:ind w:left="0"/>
        <w:jc w:val="both"/>
      </w:pPr>
      <w:r>
        <w:rPr>
          <w:rFonts w:ascii="Times New Roman"/>
          <w:b w:val="false"/>
          <w:i w:val="false"/>
          <w:color w:val="000000"/>
          <w:sz w:val="28"/>
        </w:rPr>
        <w:t>
      for the Mangistau region, the city of Almaty - 17 MCR;</w:t>
      </w:r>
    </w:p>
    <w:p>
      <w:pPr>
        <w:spacing w:after="0"/>
        <w:ind w:left="0"/>
        <w:jc w:val="both"/>
      </w:pPr>
      <w:r>
        <w:rPr>
          <w:rFonts w:ascii="Times New Roman"/>
          <w:b w:val="false"/>
          <w:i w:val="false"/>
          <w:color w:val="000000"/>
          <w:sz w:val="28"/>
        </w:rPr>
        <w:t>
      for Almaty, Aktobe, Atyrau, Zhambyl, Karaganda, Kyzylorda, Turkestan regions, the cities of Nur-Sultan and Shymkent - 22 MCR;</w:t>
      </w:r>
    </w:p>
    <w:p>
      <w:pPr>
        <w:spacing w:after="0"/>
        <w:ind w:left="0"/>
        <w:jc w:val="both"/>
      </w:pPr>
      <w:r>
        <w:rPr>
          <w:rFonts w:ascii="Times New Roman"/>
          <w:b w:val="false"/>
          <w:i w:val="false"/>
          <w:color w:val="000000"/>
          <w:sz w:val="28"/>
        </w:rPr>
        <w:t>
      for the West Kazakhstan, Kostanay, Pavlodar, North Kazakhstan regions - 29 MCR;</w:t>
      </w:r>
    </w:p>
    <w:p>
      <w:pPr>
        <w:spacing w:after="0"/>
        <w:ind w:left="0"/>
        <w:jc w:val="both"/>
      </w:pPr>
      <w:r>
        <w:rPr>
          <w:rFonts w:ascii="Times New Roman"/>
          <w:b w:val="false"/>
          <w:i w:val="false"/>
          <w:color w:val="000000"/>
          <w:sz w:val="28"/>
        </w:rPr>
        <w:t>
      for Akmola, East Kazakhstan regions - 39 MCR;</w:t>
      </w:r>
    </w:p>
    <w:p>
      <w:pPr>
        <w:spacing w:after="0"/>
        <w:ind w:left="0"/>
        <w:jc w:val="both"/>
      </w:pPr>
      <w:r>
        <w:rPr>
          <w:rFonts w:ascii="Times New Roman"/>
          <w:b w:val="false"/>
          <w:i w:val="false"/>
          <w:color w:val="000000"/>
          <w:sz w:val="28"/>
        </w:rPr>
        <w:t>
      9) Q shall be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71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Qосн. - annual remuneration fund for personnel not involved in the educational process, excluding compensation payments;</w:t>
      </w:r>
    </w:p>
    <w:p>
      <w:pPr>
        <w:spacing w:after="0"/>
        <w:ind w:left="0"/>
        <w:jc w:val="both"/>
      </w:pPr>
      <w:r>
        <w:rPr>
          <w:rFonts w:ascii="Times New Roman"/>
          <w:b w:val="false"/>
          <w:i w:val="false"/>
          <w:color w:val="000000"/>
          <w:sz w:val="28"/>
        </w:rPr>
        <w:t>
      Qкомп. - annual expenses for the payment of rehabilitation benefits for the annual paid labor leave of employees who are not involved in the educational process;</w:t>
      </w:r>
    </w:p>
    <w:p>
      <w:pPr>
        <w:spacing w:after="0"/>
        <w:ind w:left="0"/>
        <w:jc w:val="both"/>
      </w:pPr>
      <w:r>
        <w:rPr>
          <w:rFonts w:ascii="Times New Roman"/>
          <w:b w:val="false"/>
          <w:i w:val="false"/>
          <w:color w:val="000000"/>
          <w:sz w:val="28"/>
        </w:rPr>
        <w:t>
      Экомп2 - material assistance for rehabilitation in excess of existing payments for annual paid labor leave, in accordance with the Law on the protection of victims of environmental disaster, personnel who shall not be involved in the educational process,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46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that this surcharge is not provided for by the environmental disaster protection Law, Экомп2 shall be 0;</w:t>
      </w:r>
    </w:p>
    <w:p>
      <w:pPr>
        <w:spacing w:after="0"/>
        <w:ind w:left="0"/>
        <w:jc w:val="both"/>
      </w:pPr>
      <w:r>
        <w:rPr>
          <w:rFonts w:ascii="Times New Roman"/>
          <w:b w:val="false"/>
          <w:i w:val="false"/>
          <w:color w:val="000000"/>
          <w:sz w:val="28"/>
        </w:rPr>
        <w:t>
      10) F - the remuneration fund of personnel not involved in the educational process per month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4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h - the coefficient of the specific weight of wages of qualified personnel who are not involved in the educational process to the salaries of teachers - 1,423;</w:t>
      </w:r>
    </w:p>
    <w:p>
      <w:pPr>
        <w:spacing w:after="0"/>
        <w:ind w:left="0"/>
        <w:jc w:val="both"/>
      </w:pPr>
      <w:r>
        <w:rPr>
          <w:rFonts w:ascii="Times New Roman"/>
          <w:b w:val="false"/>
          <w:i w:val="false"/>
          <w:color w:val="000000"/>
          <w:sz w:val="28"/>
        </w:rPr>
        <w:t>
      q - coefficient of the specific weight of wages of unskilled personnel who are not involved in the educational process, for which the payment of rehabilitation benefits for the annual paid labor leave of employees is not provided - 1.161;</w:t>
      </w:r>
    </w:p>
    <w:p>
      <w:pPr>
        <w:spacing w:after="0"/>
        <w:ind w:left="0"/>
        <w:jc w:val="both"/>
      </w:pPr>
      <w:r>
        <w:rPr>
          <w:rFonts w:ascii="Times New Roman"/>
          <w:b w:val="false"/>
          <w:i w:val="false"/>
          <w:color w:val="000000"/>
          <w:sz w:val="28"/>
        </w:rPr>
        <w:t>
      Доу2 - the coefficient of allowance for special working conditions of personnel not participating in the educational process - 0.258;</w:t>
      </w:r>
    </w:p>
    <w:p>
      <w:pPr>
        <w:spacing w:after="0"/>
        <w:ind w:left="0"/>
        <w:jc w:val="both"/>
      </w:pPr>
      <w:r>
        <w:rPr>
          <w:rFonts w:ascii="Times New Roman"/>
          <w:b w:val="false"/>
          <w:i w:val="false"/>
          <w:color w:val="000000"/>
          <w:sz w:val="28"/>
        </w:rPr>
        <w:t>
      ke2 - coefficient of additional payment for living in environmental disaster zones in accordance with the Law on the protection of victims due to environmental disaster of personnel not involved in the educational process - 0.775.</w:t>
      </w:r>
    </w:p>
    <w:p>
      <w:pPr>
        <w:spacing w:after="0"/>
        <w:ind w:left="0"/>
        <w:jc w:val="both"/>
      </w:pPr>
      <w:r>
        <w:rPr>
          <w:rFonts w:ascii="Times New Roman"/>
          <w:b w:val="false"/>
          <w:i w:val="false"/>
          <w:color w:val="000000"/>
          <w:sz w:val="28"/>
        </w:rPr>
        <w:t>
      If this surcharge is not provided for by the environmental disaster protection Law, ke2 shall be equal to 0.</w:t>
      </w:r>
    </w:p>
    <w:p>
      <w:pPr>
        <w:spacing w:after="0"/>
        <w:ind w:left="0"/>
        <w:jc w:val="both"/>
      </w:pPr>
      <w:r>
        <w:rPr>
          <w:rFonts w:ascii="Times New Roman"/>
          <w:b w:val="false"/>
          <w:i w:val="false"/>
          <w:color w:val="000000"/>
          <w:sz w:val="28"/>
        </w:rPr>
        <w:t>
      The per capita standard for financing TVE and VE shall not apply to students undergoing short-term vocational training under the State program for the development of productive employment and mass entrepreneurship for 2017-2021 "Еңбек," approved by the resolution of the Government of the Republic of Kazakhstan dated November 13, 2018 № 746 "On approval of the State program for the development of productive employment and mass entrepreneurship for 2017-2021"Еңбек"</w:t>
      </w:r>
    </w:p>
    <w:p>
      <w:pPr>
        <w:spacing w:after="0"/>
        <w:ind w:left="0"/>
        <w:jc w:val="both"/>
      </w:pPr>
      <w:r>
        <w:rPr>
          <w:rFonts w:ascii="Times New Roman"/>
          <w:b w:val="false"/>
          <w:i w:val="false"/>
          <w:color w:val="000000"/>
          <w:sz w:val="28"/>
        </w:rPr>
        <w:t>
      11) the amount of per capita standard financing of TVE and VE, taking into account the credit training technology (Vk), shall be calculated using the following formula:</w:t>
      </w:r>
    </w:p>
    <w:p>
      <w:pPr>
        <w:spacing w:after="0"/>
        <w:ind w:left="0"/>
        <w:jc w:val="both"/>
      </w:pPr>
      <w:r>
        <w:rPr>
          <w:rFonts w:ascii="Times New Roman"/>
          <w:b w:val="false"/>
          <w:i w:val="false"/>
          <w:color w:val="000000"/>
          <w:sz w:val="28"/>
        </w:rPr>
        <w:t>
      Vk = ∑ (Kz * Nz cred * Контz),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Kz - the planned annual number of loans per student;</w:t>
      </w:r>
    </w:p>
    <w:p>
      <w:pPr>
        <w:spacing w:after="0"/>
        <w:ind w:left="0"/>
        <w:jc w:val="both"/>
      </w:pPr>
      <w:r>
        <w:rPr>
          <w:rFonts w:ascii="Times New Roman"/>
          <w:b w:val="false"/>
          <w:i w:val="false"/>
          <w:color w:val="000000"/>
          <w:sz w:val="28"/>
        </w:rPr>
        <w:t>
      Nz cred - the standard value of one academic loan in the context of the education profiles of TVE and VE.</w:t>
      </w:r>
    </w:p>
    <w:p>
      <w:pPr>
        <w:spacing w:after="0"/>
        <w:ind w:left="0"/>
        <w:jc w:val="both"/>
      </w:pPr>
      <w:r>
        <w:rPr>
          <w:rFonts w:ascii="Times New Roman"/>
          <w:b w:val="false"/>
          <w:i w:val="false"/>
          <w:color w:val="000000"/>
          <w:sz w:val="28"/>
        </w:rPr>
        <w:t>
      When implementing more than one education profile in one TVE and VE organization, the amount of per capita standard financing, taking into account the credit technology of training, is determined by summing up the amount of per capita standard financing, taking into account the credit technology of training in education profiles;</w:t>
      </w:r>
    </w:p>
    <w:p>
      <w:pPr>
        <w:spacing w:after="0"/>
        <w:ind w:left="0"/>
        <w:jc w:val="both"/>
      </w:pPr>
      <w:r>
        <w:rPr>
          <w:rFonts w:ascii="Times New Roman"/>
          <w:b w:val="false"/>
          <w:i w:val="false"/>
          <w:color w:val="000000"/>
          <w:sz w:val="28"/>
        </w:rPr>
        <w:t>
      12) Nz cred - the standard value of one academic loan in the context of the education profiles of TVE and VE shall be calculated using the following formula:</w:t>
      </w:r>
    </w:p>
    <w:p>
      <w:pPr>
        <w:spacing w:after="0"/>
        <w:ind w:left="0"/>
        <w:jc w:val="both"/>
      </w:pPr>
      <w:r>
        <w:rPr>
          <w:rFonts w:ascii="Times New Roman"/>
          <w:b w:val="false"/>
          <w:i w:val="false"/>
          <w:color w:val="000000"/>
          <w:sz w:val="28"/>
        </w:rPr>
        <w:t>
      Nz cred = Nz /69,</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69 - estimated average annual indicator of the number of academic loans, determined in accordance with the SCSE, taking into account hours for consultations and optional classes;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Education and Science of the Republic of Kazakhstan dated 24.03.2022 № 104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Algorithm for calculating the amount of per capita normative financing of higher and postgraduate education, taking into account the credit technology of education </w:t>
      </w:r>
    </w:p>
    <w:p>
      <w:pPr>
        <w:spacing w:after="0"/>
        <w:ind w:left="0"/>
        <w:jc w:val="both"/>
      </w:pPr>
      <w:r>
        <w:rPr>
          <w:rFonts w:ascii="Times New Roman"/>
          <w:b w:val="false"/>
          <w:i w:val="false"/>
          <w:color w:val="ff0000"/>
          <w:sz w:val="28"/>
        </w:rPr>
        <w:t>
      Footnote. Chapter 5 was excluded by the order of the Minister of Education of the Republic of Kazakhstan dated 05.07.2023 № 197 (shall be enforced upon expiry of ten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