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c3c7" w14:textId="4ffc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Roster of positions of civil servants of the Agency of the Republic of Kazakhstan for Civil Service Affairs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order of the Chairman of the Agency of the Republic of Kazakhstan on civil service and anti-corruption on October 25, 2016 № 24. Registered in the Ministry of Justice of the Republic of Kazakhstan on November 28, 2016 № 14467.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as amended by the order of the Chairman of the Agency of the Republic of Kazakhstan for Civil Service Affairs dated 08.04.2020 No. 64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5 of Article 139 of the Labor Code of the Republic of Kazakhstan dated November 23, 2015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Approve the attached Roster of positions of civil servants of the Agency of the Republic of Kazakhstan for Civil Service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1as amended by the order of the Chairman of the Agency of the Republic of Kazakhstan for Civil Service Affairs dated 08.04.2020 No. 64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invalidate order No. 64 of the Minister of Civil Service Affairs of the Republic of Kazakhstan dated March 25, 2016 “On approval of the Roster of positions of civil servants of the Ministry of Civil Service Affairs of the Republic of Kazakhstan” (Registered in the Register of State Registration of Regulatory Legal Acts under No. 13574, published in the legal information system Adilet dated April 15, 2016).</w:t>
      </w:r>
    </w:p>
    <w:p>
      <w:pPr>
        <w:spacing w:after="0"/>
        <w:ind w:left="0"/>
        <w:jc w:val="both"/>
      </w:pPr>
      <w:r>
        <w:rPr>
          <w:rFonts w:ascii="Times New Roman"/>
          <w:b w:val="false"/>
          <w:i w:val="false"/>
          <w:color w:val="000000"/>
          <w:sz w:val="28"/>
        </w:rPr>
        <w:t>
      3. In the manner prescribed by law, the Legal Department of the Agency of the Republic of Kazakhstan for Civil Service Affairs and Anti-Corruption (hereinafter -the Agency),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order with the Ministry of Justice of the Republic of Kazakhstan, direct this order for official publication in the legal information system Adilet;</w:t>
      </w:r>
    </w:p>
    <w:p>
      <w:pPr>
        <w:spacing w:after="0"/>
        <w:ind w:left="0"/>
        <w:jc w:val="both"/>
      </w:pPr>
      <w:r>
        <w:rPr>
          <w:rFonts w:ascii="Times New Roman"/>
          <w:b w:val="false"/>
          <w:i w:val="false"/>
          <w:color w:val="000000"/>
          <w:sz w:val="28"/>
        </w:rPr>
        <w:t>
      3) within ten calendar days from the date of the state registration of this order, direct this order to the Republican State Enterprise with the Right of Economic Management "Republican Center of Legal Information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4) place this order on the Internet resource of the Agency.</w:t>
      </w:r>
    </w:p>
    <w:p>
      <w:pPr>
        <w:spacing w:after="0"/>
        <w:ind w:left="0"/>
        <w:jc w:val="both"/>
      </w:pPr>
      <w:r>
        <w:rPr>
          <w:rFonts w:ascii="Times New Roman"/>
          <w:b w:val="false"/>
          <w:i w:val="false"/>
          <w:color w:val="000000"/>
          <w:sz w:val="28"/>
        </w:rPr>
        <w:t>
      4. Control over the execution of this order shall be assigned to the head of the administration of the Agency.</w:t>
      </w:r>
    </w:p>
    <w:p>
      <w:pPr>
        <w:spacing w:after="0"/>
        <w:ind w:left="0"/>
        <w:jc w:val="both"/>
      </w:pPr>
      <w:r>
        <w:rPr>
          <w:rFonts w:ascii="Times New Roman"/>
          <w:b w:val="false"/>
          <w:i w:val="false"/>
          <w:color w:val="000000"/>
          <w:sz w:val="28"/>
        </w:rPr>
        <w:t>
      5. This order shall be enforced from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Agency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Civil Service Affairs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and Anti-Corruption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Kozhamzharov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Health</w:t>
      </w:r>
    </w:p>
    <w:p>
      <w:pPr>
        <w:spacing w:after="0"/>
        <w:ind w:left="0"/>
        <w:jc w:val="both"/>
      </w:pPr>
      <w:r>
        <w:rPr>
          <w:rFonts w:ascii="Times New Roman"/>
          <w:b w:val="false"/>
          <w:i w:val="false"/>
          <w:color w:val="000000"/>
          <w:sz w:val="28"/>
        </w:rPr>
        <w:t>
      and Social Development</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 T. Duysenova</w:t>
      </w:r>
    </w:p>
    <w:p>
      <w:pPr>
        <w:spacing w:after="0"/>
        <w:ind w:left="0"/>
        <w:jc w:val="both"/>
      </w:pPr>
      <w:r>
        <w:rPr>
          <w:rFonts w:ascii="Times New Roman"/>
          <w:b w:val="false"/>
          <w:i w:val="false"/>
          <w:color w:val="000000"/>
          <w:sz w:val="28"/>
        </w:rPr>
        <w:t>
      October 31,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by Order No. 24 of the </w:t>
            </w:r>
            <w:r>
              <w:br/>
            </w:r>
            <w:r>
              <w:rPr>
                <w:rFonts w:ascii="Times New Roman"/>
                <w:b w:val="false"/>
                <w:i w:val="false"/>
                <w:color w:val="000000"/>
                <w:sz w:val="20"/>
              </w:rPr>
              <w:t>chairman of the Agency of the</w:t>
            </w:r>
            <w:r>
              <w:br/>
            </w:r>
            <w:r>
              <w:rPr>
                <w:rFonts w:ascii="Times New Roman"/>
                <w:b w:val="false"/>
                <w:i w:val="false"/>
                <w:color w:val="000000"/>
                <w:sz w:val="20"/>
              </w:rPr>
              <w:t>Republic of Kazakhstan for Civil</w:t>
            </w:r>
            <w:r>
              <w:br/>
            </w:r>
            <w:r>
              <w:rPr>
                <w:rFonts w:ascii="Times New Roman"/>
                <w:b w:val="false"/>
                <w:i w:val="false"/>
                <w:color w:val="000000"/>
                <w:sz w:val="20"/>
              </w:rPr>
              <w:t>Service Affairs and Anti-Corruption</w:t>
            </w:r>
            <w:r>
              <w:br/>
            </w:r>
            <w:r>
              <w:rPr>
                <w:rFonts w:ascii="Times New Roman"/>
                <w:b w:val="false"/>
                <w:i w:val="false"/>
                <w:color w:val="000000"/>
                <w:sz w:val="20"/>
              </w:rPr>
              <w:t>October 25, 2016</w:t>
            </w:r>
          </w:p>
        </w:tc>
      </w:tr>
    </w:tbl>
    <w:p>
      <w:pPr>
        <w:spacing w:after="0"/>
        <w:ind w:left="0"/>
        <w:jc w:val="left"/>
      </w:pPr>
      <w:r>
        <w:rPr>
          <w:rFonts w:ascii="Times New Roman"/>
          <w:b/>
          <w:i w:val="false"/>
          <w:color w:val="000000"/>
        </w:rPr>
        <w:t xml:space="preserve"> Roster  of positions of civil servants of the Agency of the Republic of Kazakhstan  for Civil Service Affairs</w:t>
      </w:r>
    </w:p>
    <w:p>
      <w:pPr>
        <w:spacing w:after="0"/>
        <w:ind w:left="0"/>
        <w:jc w:val="both"/>
      </w:pPr>
      <w:r>
        <w:rPr>
          <w:rFonts w:ascii="Times New Roman"/>
          <w:b w:val="false"/>
          <w:i w:val="false"/>
          <w:color w:val="ff0000"/>
          <w:sz w:val="28"/>
        </w:rPr>
        <w:t>
      Footnote. The heading as amended by the order of the Chairman of the Agency of the Republic of Kazakhstan for Civil Service Affairs dated 08.04.2020 No. 64 (shall be enforced from the date of its first official publication).</w:t>
      </w:r>
    </w:p>
    <w:p>
      <w:pPr>
        <w:spacing w:after="0"/>
        <w:ind w:left="0"/>
        <w:jc w:val="both"/>
      </w:pPr>
      <w:r>
        <w:rPr>
          <w:rFonts w:ascii="Times New Roman"/>
          <w:b w:val="false"/>
          <w:i w:val="false"/>
          <w:color w:val="000000"/>
          <w:sz w:val="28"/>
        </w:rPr>
        <w:t>
      Footnote. The Roster as amended by Order No. 144 of the Chairman of the Agency of the Republic of Kazakhstan for Civil Service Affairs and Anti-Corruption dated July 13, 2017 (shall be enforced from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positions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 A (executive staff)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Republican state-owned enterprise “Academy of Public Administration under the President of the Republic of Kazakhstan” (further – APA) (rector)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 of the APA (vice-rector)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 of the Institute/School/Branch of APA, head of the Center, academic secretary, chief accountant of APA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director of the Institute/School/Branch of APA, deputy head of the Center, head of the Service, deputy chief accountant of APA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Chair, deputy head of the Service, head of APA department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sector, head of the office, deputy head of APA department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 B (core staff)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Professor, senior researcher of APA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Docent (associate professor), leading researcher, chief expert of APA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Senior lecturer, senior researcher, leading expert of APA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associate, counselor, senior expert, senior teaching methodology expert of APA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junior researcher, expert, teaching methodology expert of APA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 С (administrative staff)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Chief administrator, chief editor, chief Inspector, chief engineer, press Secretary, assistant Rector of APA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Specialists of advanced qualification level: </w:t>
            </w:r>
          </w:p>
          <w:p>
            <w:pPr>
              <w:spacing w:after="20"/>
              <w:ind w:left="20"/>
              <w:jc w:val="both"/>
            </w:pPr>
            <w:r>
              <w:rPr>
                <w:rFonts w:ascii="Times New Roman"/>
                <w:b w:val="false"/>
                <w:i w:val="false"/>
                <w:color w:val="000000"/>
                <w:sz w:val="20"/>
              </w:rPr>
              <w:t>
Accountant, economist, lawyer, technicians of all fields, consultant, translator, bibliographer, librarian, headman, logistic support specialist, public procurement specialist, sound engineer, instructor, mechanic, archivist, inspector.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of intermediate qualification level:</w:t>
            </w:r>
          </w:p>
          <w:p>
            <w:pPr>
              <w:spacing w:after="20"/>
              <w:ind w:left="20"/>
              <w:jc w:val="both"/>
            </w:pPr>
            <w:r>
              <w:rPr>
                <w:rFonts w:ascii="Times New Roman"/>
                <w:b w:val="false"/>
                <w:i w:val="false"/>
                <w:color w:val="000000"/>
                <w:sz w:val="20"/>
              </w:rPr>
              <w:t>
Technicians of all fields, headman, technician, logistic support specialist, public procurement specialist, sound engineer, instructor, mechanic, archivist, inspector.</w:t>
            </w:r>
          </w:p>
          <w:p>
            <w:pPr>
              <w:spacing w:after="20"/>
              <w:ind w:left="20"/>
              <w:jc w:val="both"/>
            </w:pPr>
            <w:r>
              <w:rPr>
                <w:rFonts w:ascii="Times New Roman"/>
                <w:b w:val="false"/>
                <w:i w:val="false"/>
                <w:color w:val="000000"/>
                <w:sz w:val="20"/>
              </w:rPr>
              <w:t>
Head of the: economy, warehouse, bureau (reference, typing, information, copying), video stock, garage, record-keeping, storage room, hostel.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 D (supporting staff)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executors:</w:t>
            </w:r>
          </w:p>
          <w:p>
            <w:pPr>
              <w:spacing w:after="20"/>
              <w:ind w:left="20"/>
              <w:jc w:val="both"/>
            </w:pPr>
            <w:r>
              <w:rPr>
                <w:rFonts w:ascii="Times New Roman"/>
                <w:b w:val="false"/>
                <w:i w:val="false"/>
                <w:color w:val="000000"/>
                <w:sz w:val="20"/>
              </w:rPr>
              <w:t xml:space="preserve">
 Custodian, records manager, pass control duty officer, operator (of computer hardware, video and audio recording), security guard, communications and copying machines operator, secretary, dispatcher, archivist.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