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921a" w14:textId="2c19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activity of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March 31, 2016 No. 65. Registered with the Ministry of Justice of the Republic of Kazakhstan on April 29, 2016 No. 13653.</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3) of Article 5-1 of the Law of the Republic of Kazakhstan dated July 27, 2007 "On Education", </w:t>
      </w:r>
      <w:r>
        <w:rPr>
          <w:rFonts w:ascii="Times New Roman"/>
          <w:b/>
          <w:i w:val="false"/>
          <w:color w:val="000000"/>
          <w:sz w:val="28"/>
        </w:rPr>
        <w:t>I HEREBY ORDER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of activity of the Academy of Law Enforcement Agencies under the General Prosecutor's Office of the Republic of Kazakhstan (hereinafter referred to as the Academy).</w:t>
      </w:r>
    </w:p>
    <w:bookmarkEnd w:id="1"/>
    <w:bookmarkStart w:name="z2" w:id="2"/>
    <w:p>
      <w:pPr>
        <w:spacing w:after="0"/>
        <w:ind w:left="0"/>
        <w:jc w:val="both"/>
      </w:pPr>
      <w:r>
        <w:rPr>
          <w:rFonts w:ascii="Times New Roman"/>
          <w:b w:val="false"/>
          <w:i w:val="false"/>
          <w:color w:val="000000"/>
          <w:sz w:val="28"/>
        </w:rPr>
        <w:t>
      2. The Rector of the Academy Baizhanov U.S. shall provide: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the direction for official publication in periodicals and the Legal Information System "Adіlet";</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the direction to the Republican State Enterprise on the Right of Economic Use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General Prosecutor's Office of the Republic of Kazakhstan.</w:t>
      </w:r>
    </w:p>
    <w:bookmarkStart w:name="z3" w:id="3"/>
    <w:p>
      <w:pPr>
        <w:spacing w:after="0"/>
        <w:ind w:left="0"/>
        <w:jc w:val="both"/>
      </w:pPr>
      <w:r>
        <w:rPr>
          <w:rFonts w:ascii="Times New Roman"/>
          <w:b w:val="false"/>
          <w:i w:val="false"/>
          <w:color w:val="000000"/>
          <w:sz w:val="28"/>
        </w:rPr>
        <w:t>
      3. The control over the execution of this Order shall be assigned to I. D. Merkel, First Deputy Prosecutor General of the Republic of Kazakhstan</w:t>
      </w:r>
    </w:p>
    <w:bookmarkEnd w:id="3"/>
    <w:bookmarkStart w:name="z4" w:id="4"/>
    <w:p>
      <w:pPr>
        <w:spacing w:after="0"/>
        <w:ind w:left="0"/>
        <w:jc w:val="both"/>
      </w:pPr>
      <w:r>
        <w:rPr>
          <w:rFonts w:ascii="Times New Roman"/>
          <w:b w:val="false"/>
          <w:i w:val="false"/>
          <w:color w:val="000000"/>
          <w:sz w:val="28"/>
        </w:rPr>
        <w:t>
      4. This Order shall be enforced upon expiry of ten calendar days after the day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Prosecutor General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Prosecutor General</w:t>
            </w:r>
            <w:r>
              <w:br/>
            </w:r>
            <w:r>
              <w:rPr>
                <w:rFonts w:ascii="Times New Roman"/>
                <w:b w:val="false"/>
                <w:i w:val="false"/>
                <w:color w:val="000000"/>
                <w:sz w:val="20"/>
              </w:rPr>
              <w:t>of the Republic of Kazakhstan</w:t>
            </w:r>
            <w:r>
              <w:br/>
            </w:r>
            <w:r>
              <w:rPr>
                <w:rFonts w:ascii="Times New Roman"/>
                <w:b w:val="false"/>
                <w:i w:val="false"/>
                <w:color w:val="000000"/>
                <w:sz w:val="20"/>
              </w:rPr>
              <w:t>№ 65 dated March 31, 2016</w:t>
            </w:r>
          </w:p>
        </w:tc>
      </w:tr>
    </w:tbl>
    <w:bookmarkStart w:name="z6" w:id="5"/>
    <w:p>
      <w:pPr>
        <w:spacing w:after="0"/>
        <w:ind w:left="0"/>
        <w:jc w:val="left"/>
      </w:pPr>
      <w:r>
        <w:rPr>
          <w:rFonts w:ascii="Times New Roman"/>
          <w:b/>
          <w:i w:val="false"/>
          <w:color w:val="000000"/>
        </w:rPr>
        <w:t xml:space="preserve"> Rules of activity of the Academy of Law Enforcement Agencies</w:t>
      </w:r>
      <w:r>
        <w:br/>
      </w:r>
      <w:r>
        <w:rPr>
          <w:rFonts w:ascii="Times New Roman"/>
          <w:b/>
          <w:i w:val="false"/>
          <w:color w:val="000000"/>
        </w:rPr>
        <w:t>under the General Prosecutor's Office of the Republic of Kazakhstan</w:t>
      </w:r>
      <w:r>
        <w:br/>
      </w:r>
      <w:r>
        <w:rPr>
          <w:rFonts w:ascii="Times New Roman"/>
          <w:b/>
          <w:i w:val="false"/>
          <w:color w:val="000000"/>
        </w:rPr>
        <w:t>1. General Provisions</w:t>
      </w:r>
    </w:p>
    <w:bookmarkEnd w:id="5"/>
    <w:bookmarkStart w:name="z8" w:id="6"/>
    <w:p>
      <w:pPr>
        <w:spacing w:after="0"/>
        <w:ind w:left="0"/>
        <w:jc w:val="both"/>
      </w:pPr>
      <w:r>
        <w:rPr>
          <w:rFonts w:ascii="Times New Roman"/>
          <w:b w:val="false"/>
          <w:i w:val="false"/>
          <w:color w:val="000000"/>
          <w:sz w:val="28"/>
        </w:rPr>
        <w:t xml:space="preserve">
      1. These Rules of activity of the Academy of Law Enforcement Agencies under the General Prosecutor's Office of the Republic of Kazakhstan (hereinafter referred to as the Rules) shall be developed in accordance with Subparagraph 3) of Article 5-1 of the Law of the Republic of Kazakhstan dated July 27, 2007 “On Education”. </w:t>
      </w:r>
    </w:p>
    <w:bookmarkEnd w:id="6"/>
    <w:bookmarkStart w:name="z9" w:id="7"/>
    <w:p>
      <w:pPr>
        <w:spacing w:after="0"/>
        <w:ind w:left="0"/>
        <w:jc w:val="both"/>
      </w:pPr>
      <w:r>
        <w:rPr>
          <w:rFonts w:ascii="Times New Roman"/>
          <w:b w:val="false"/>
          <w:i w:val="false"/>
          <w:color w:val="000000"/>
          <w:sz w:val="28"/>
        </w:rPr>
        <w:t>
      2. The Rules shall determine the procedure for activity of the Academy of Law Enforcement Agencies under the General Prosecutor's Office of the Republic of Kazakhstan (hereinafter - the Academy, Educational Institution).</w:t>
      </w:r>
    </w:p>
    <w:bookmarkEnd w:id="7"/>
    <w:bookmarkStart w:name="z10" w:id="8"/>
    <w:p>
      <w:pPr>
        <w:spacing w:after="0"/>
        <w:ind w:left="0"/>
        <w:jc w:val="both"/>
      </w:pPr>
      <w:r>
        <w:rPr>
          <w:rFonts w:ascii="Times New Roman"/>
          <w:b w:val="false"/>
          <w:i w:val="false"/>
          <w:color w:val="000000"/>
          <w:sz w:val="28"/>
        </w:rPr>
        <w:t>
      3. The main tasks of the Academy :</w:t>
      </w:r>
    </w:p>
    <w:bookmarkEnd w:id="8"/>
    <w:p>
      <w:pPr>
        <w:spacing w:after="0"/>
        <w:ind w:left="0"/>
        <w:jc w:val="both"/>
      </w:pPr>
      <w:r>
        <w:rPr>
          <w:rFonts w:ascii="Times New Roman"/>
          <w:b w:val="false"/>
          <w:i w:val="false"/>
          <w:color w:val="000000"/>
          <w:sz w:val="28"/>
        </w:rPr>
        <w:t>
      1) improve the professional level of law enforcement officials, including those in the Presidential reserve of the leadership of law enforcement bodies of the Republic of Kazakhstan;</w:t>
      </w:r>
    </w:p>
    <w:p>
      <w:pPr>
        <w:spacing w:after="0"/>
        <w:ind w:left="0"/>
        <w:jc w:val="both"/>
      </w:pPr>
      <w:r>
        <w:rPr>
          <w:rFonts w:ascii="Times New Roman"/>
          <w:b w:val="false"/>
          <w:i w:val="false"/>
          <w:color w:val="000000"/>
          <w:sz w:val="28"/>
        </w:rPr>
        <w:t>
      2) coordination and conduct of interdepartmental research in the field of law enforcement;</w:t>
      </w:r>
    </w:p>
    <w:p>
      <w:pPr>
        <w:spacing w:after="0"/>
        <w:ind w:left="0"/>
        <w:jc w:val="both"/>
      </w:pPr>
      <w:r>
        <w:rPr>
          <w:rFonts w:ascii="Times New Roman"/>
          <w:b w:val="false"/>
          <w:i w:val="false"/>
          <w:color w:val="000000"/>
          <w:sz w:val="28"/>
        </w:rPr>
        <w:t>
      3) implementation of educational programs of postgraduate education;</w:t>
      </w:r>
    </w:p>
    <w:p>
      <w:pPr>
        <w:spacing w:after="0"/>
        <w:ind w:left="0"/>
        <w:jc w:val="both"/>
      </w:pPr>
      <w:r>
        <w:rPr>
          <w:rFonts w:ascii="Times New Roman"/>
          <w:b w:val="false"/>
          <w:i w:val="false"/>
          <w:color w:val="000000"/>
          <w:sz w:val="28"/>
        </w:rPr>
        <w:t>
      4) initial training for persons entering the service of law enforcement bodies for the first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Attorney General of the RK dated 20.05.2020 № 66 (shall enter into force upon expiry of ten calendar days after the day of its first official publication).</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The Academy shall perform its activities in accordance with the Constitution of the Republic of Kazakhstan, the Laws of the Republic of Kazakhstan "On Education", "On Science", regulating educational and scientific activities, as well as these Rules and the Charter of the Academy.</w:t>
      </w:r>
    </w:p>
    <w:bookmarkEnd w:id="9"/>
    <w:bookmarkStart w:name="z12" w:id="10"/>
    <w:p>
      <w:pPr>
        <w:spacing w:after="0"/>
        <w:ind w:left="0"/>
        <w:jc w:val="both"/>
      </w:pPr>
      <w:r>
        <w:rPr>
          <w:rFonts w:ascii="Times New Roman"/>
          <w:b w:val="false"/>
          <w:i w:val="false"/>
          <w:color w:val="000000"/>
          <w:sz w:val="28"/>
        </w:rPr>
        <w:t xml:space="preserve">
      5. The Academy shall implement the curriculum of postgraduate education on the basis of the License issued in accordance with the current Legislation of the Republic of Kazakhstan. </w:t>
      </w:r>
    </w:p>
    <w:bookmarkEnd w:id="10"/>
    <w:bookmarkStart w:name="z13" w:id="11"/>
    <w:p>
      <w:pPr>
        <w:spacing w:after="0"/>
        <w:ind w:left="0"/>
        <w:jc w:val="both"/>
      </w:pPr>
      <w:r>
        <w:rPr>
          <w:rFonts w:ascii="Times New Roman"/>
          <w:b w:val="false"/>
          <w:i w:val="false"/>
          <w:color w:val="000000"/>
          <w:sz w:val="28"/>
        </w:rPr>
        <w:t xml:space="preserve">
      2. The procedure for activity of the Academy </w:t>
      </w:r>
    </w:p>
    <w:bookmarkEnd w:id="11"/>
    <w:bookmarkStart w:name="z14" w:id="12"/>
    <w:p>
      <w:pPr>
        <w:spacing w:after="0"/>
        <w:ind w:left="0"/>
        <w:jc w:val="both"/>
      </w:pPr>
      <w:r>
        <w:rPr>
          <w:rFonts w:ascii="Times New Roman"/>
          <w:b w:val="false"/>
          <w:i w:val="false"/>
          <w:color w:val="000000"/>
          <w:sz w:val="28"/>
        </w:rPr>
        <w:t>
      6. The management of the Academy shall be carried out in accordance with these Rules and the Charter of the Academy.</w:t>
      </w:r>
    </w:p>
    <w:bookmarkEnd w:id="12"/>
    <w:bookmarkStart w:name="z15" w:id="13"/>
    <w:p>
      <w:pPr>
        <w:spacing w:after="0"/>
        <w:ind w:left="0"/>
        <w:jc w:val="both"/>
      </w:pPr>
      <w:r>
        <w:rPr>
          <w:rFonts w:ascii="Times New Roman"/>
          <w:b w:val="false"/>
          <w:i w:val="false"/>
          <w:color w:val="000000"/>
          <w:sz w:val="28"/>
        </w:rPr>
        <w:t>
      7. Direct management of the Academy shall be carried out by the rector.</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The rector of the Academy has deputies: the first vice-rector and vice-rectors.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The Rector, without a power of attorney, shall act on behalf of the Academy, represent its interests in all state authorities and institutions, and other organizations.</w:t>
      </w:r>
    </w:p>
    <w:bookmarkEnd w:id="15"/>
    <w:bookmarkStart w:name="z18" w:id="16"/>
    <w:p>
      <w:pPr>
        <w:spacing w:after="0"/>
        <w:ind w:left="0"/>
        <w:jc w:val="both"/>
      </w:pPr>
      <w:r>
        <w:rPr>
          <w:rFonts w:ascii="Times New Roman"/>
          <w:b w:val="false"/>
          <w:i w:val="false"/>
          <w:color w:val="000000"/>
          <w:sz w:val="28"/>
        </w:rPr>
        <w:t>
      10. The Academy shall create the Governing Boards:</w:t>
      </w:r>
    </w:p>
    <w:bookmarkEnd w:id="16"/>
    <w:p>
      <w:pPr>
        <w:spacing w:after="0"/>
        <w:ind w:left="0"/>
        <w:jc w:val="both"/>
      </w:pPr>
      <w:r>
        <w:rPr>
          <w:rFonts w:ascii="Times New Roman"/>
          <w:b w:val="false"/>
          <w:i w:val="false"/>
          <w:color w:val="000000"/>
          <w:sz w:val="28"/>
        </w:rPr>
        <w:t>
      1) Scientific and Methodological Council of the Academy;</w:t>
      </w:r>
    </w:p>
    <w:p>
      <w:pPr>
        <w:spacing w:after="0"/>
        <w:ind w:left="0"/>
        <w:jc w:val="both"/>
      </w:pPr>
      <w:r>
        <w:rPr>
          <w:rFonts w:ascii="Times New Roman"/>
          <w:b w:val="false"/>
          <w:i w:val="false"/>
          <w:color w:val="000000"/>
          <w:sz w:val="28"/>
        </w:rPr>
        <w:t>
      2) Academic Council of the Academy;</w:t>
      </w:r>
    </w:p>
    <w:p>
      <w:pPr>
        <w:spacing w:after="0"/>
        <w:ind w:left="0"/>
        <w:jc w:val="both"/>
      </w:pPr>
      <w:r>
        <w:rPr>
          <w:rFonts w:ascii="Times New Roman"/>
          <w:b w:val="false"/>
          <w:i w:val="false"/>
          <w:color w:val="000000"/>
          <w:sz w:val="28"/>
        </w:rPr>
        <w:t>
      3) Academic and Methodological Council of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Paragraph 10 as amended by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By order of the Rector of the Academy, the creation of other Collegial and Advisory Authorities shall be permitted.</w:t>
      </w:r>
    </w:p>
    <w:bookmarkEnd w:id="17"/>
    <w:bookmarkStart w:name="z20" w:id="18"/>
    <w:p>
      <w:pPr>
        <w:spacing w:after="0"/>
        <w:ind w:left="0"/>
        <w:jc w:val="both"/>
      </w:pPr>
      <w:r>
        <w:rPr>
          <w:rFonts w:ascii="Times New Roman"/>
          <w:b w:val="false"/>
          <w:i w:val="false"/>
          <w:color w:val="000000"/>
          <w:sz w:val="28"/>
        </w:rPr>
        <w:t>
      12. The composition and number of members, the activities of the Governing Boards shall be determined by the Academy independently, except for the Scientific and Methodological Council.</w:t>
      </w:r>
    </w:p>
    <w:bookmarkEnd w:id="18"/>
    <w:bookmarkStart w:name="z21" w:id="19"/>
    <w:p>
      <w:pPr>
        <w:spacing w:after="0"/>
        <w:ind w:left="0"/>
        <w:jc w:val="both"/>
      </w:pPr>
      <w:r>
        <w:rPr>
          <w:rFonts w:ascii="Times New Roman"/>
          <w:b w:val="false"/>
          <w:i w:val="false"/>
          <w:color w:val="000000"/>
          <w:sz w:val="28"/>
        </w:rPr>
        <w:t>
      13. The structure and staffing of the Academy shall be approved by the Prosecutor General of the Republic of Kazakhstan.</w:t>
      </w:r>
    </w:p>
    <w:bookmarkEnd w:id="19"/>
    <w:bookmarkStart w:name="z22" w:id="20"/>
    <w:p>
      <w:pPr>
        <w:spacing w:after="0"/>
        <w:ind w:left="0"/>
        <w:jc w:val="both"/>
      </w:pPr>
      <w:r>
        <w:rPr>
          <w:rFonts w:ascii="Times New Roman"/>
          <w:b w:val="false"/>
          <w:i w:val="false"/>
          <w:color w:val="000000"/>
          <w:sz w:val="28"/>
        </w:rPr>
        <w:t>
      14. The Academy independently shall develop and approve the regulations on structural units, which determine the main directions of their activities.</w:t>
      </w:r>
    </w:p>
    <w:bookmarkEnd w:id="20"/>
    <w:bookmarkStart w:name="z23" w:id="21"/>
    <w:p>
      <w:pPr>
        <w:spacing w:after="0"/>
        <w:ind w:left="0"/>
        <w:jc w:val="both"/>
      </w:pPr>
      <w:r>
        <w:rPr>
          <w:rFonts w:ascii="Times New Roman"/>
          <w:b w:val="false"/>
          <w:i w:val="false"/>
          <w:color w:val="000000"/>
          <w:sz w:val="28"/>
        </w:rPr>
        <w:t>
      15. The Academy independently shall develop and approve the functional responsibilities of workers (employees, administrative state employees and workers under an employment contract), which determine their powers and responsibilities.</w:t>
      </w:r>
    </w:p>
    <w:bookmarkEnd w:id="21"/>
    <w:p>
      <w:pPr>
        <w:spacing w:after="0"/>
        <w:ind w:left="0"/>
        <w:jc w:val="both"/>
      </w:pPr>
      <w:r>
        <w:rPr>
          <w:rFonts w:ascii="Times New Roman"/>
          <w:b w:val="false"/>
          <w:i w:val="false"/>
          <w:color w:val="000000"/>
          <w:sz w:val="28"/>
        </w:rPr>
        <w:t>
      The appointment and dismissal, filling of posts, hiring, dismissal and termination of employment contract at the Academy shall be carried out in the manner prescribed by the Legislation of the Republic of Kazakhstan.</w:t>
      </w:r>
    </w:p>
    <w:bookmarkStart w:name="z24" w:id="22"/>
    <w:p>
      <w:pPr>
        <w:spacing w:after="0"/>
        <w:ind w:left="0"/>
        <w:jc w:val="both"/>
      </w:pPr>
      <w:r>
        <w:rPr>
          <w:rFonts w:ascii="Times New Roman"/>
          <w:b w:val="false"/>
          <w:i w:val="false"/>
          <w:color w:val="000000"/>
          <w:sz w:val="28"/>
        </w:rPr>
        <w:t>
      16. The Academy includes: Institute of Vocational Training (hereinafter - IVT), Interdepartmental Scientific Research Institute (hereinafter - ISRI), Institute of Postgraduate Education (hereinafter - IPGE) and independent structural units.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The activities of the Institute shall be managed by a director appointed and dismissed by the Order of the Rector in agreement with the Prosecutor General of the Republic of Kazakhstan.</w:t>
      </w:r>
    </w:p>
    <w:bookmarkEnd w:id="23"/>
    <w:bookmarkStart w:name="z26" w:id="24"/>
    <w:p>
      <w:pPr>
        <w:spacing w:after="0"/>
        <w:ind w:left="0"/>
        <w:jc w:val="both"/>
      </w:pPr>
      <w:r>
        <w:rPr>
          <w:rFonts w:ascii="Times New Roman"/>
          <w:b w:val="false"/>
          <w:i w:val="false"/>
          <w:color w:val="000000"/>
          <w:sz w:val="28"/>
        </w:rPr>
        <w:t>
      18. The structural units of the Institutes of the Academy shall be departments, centers, and offices.</w:t>
      </w:r>
    </w:p>
    <w:bookmarkEnd w:id="24"/>
    <w:p>
      <w:pPr>
        <w:spacing w:after="0"/>
        <w:ind w:left="0"/>
        <w:jc w:val="both"/>
      </w:pPr>
      <w:r>
        <w:rPr>
          <w:rFonts w:ascii="Times New Roman"/>
          <w:b w:val="false"/>
          <w:i w:val="false"/>
          <w:color w:val="000000"/>
          <w:sz w:val="28"/>
        </w:rPr>
        <w:t>
      The Department shall be an educational and scientific structural unit of the Academy, carrying out educational, methodological and research work in one or more related disciplines, educational work among students.</w:t>
      </w:r>
    </w:p>
    <w:p>
      <w:pPr>
        <w:spacing w:after="0"/>
        <w:ind w:left="0"/>
        <w:jc w:val="both"/>
      </w:pPr>
      <w:r>
        <w:rPr>
          <w:rFonts w:ascii="Times New Roman"/>
          <w:b w:val="false"/>
          <w:i w:val="false"/>
          <w:color w:val="000000"/>
          <w:sz w:val="28"/>
        </w:rPr>
        <w:t>
      The staff of the Department shall be determined taking into account the specifics of the educational process.</w:t>
      </w:r>
    </w:p>
    <w:p>
      <w:pPr>
        <w:spacing w:after="0"/>
        <w:ind w:left="0"/>
        <w:jc w:val="both"/>
      </w:pPr>
      <w:r>
        <w:rPr>
          <w:rFonts w:ascii="Times New Roman"/>
          <w:b w:val="false"/>
          <w:i w:val="false"/>
          <w:color w:val="000000"/>
          <w:sz w:val="28"/>
        </w:rPr>
        <w:t>
      The staff of the Department includes the Head of the Department, Professors, Associate Professors, Senior Lecturers, Lecturers, Teaching and Support Staff.</w:t>
      </w:r>
    </w:p>
    <w:p>
      <w:pPr>
        <w:spacing w:after="0"/>
        <w:ind w:left="0"/>
        <w:jc w:val="both"/>
      </w:pPr>
      <w:r>
        <w:rPr>
          <w:rFonts w:ascii="Times New Roman"/>
          <w:b w:val="false"/>
          <w:i w:val="false"/>
          <w:color w:val="000000"/>
          <w:sz w:val="28"/>
        </w:rPr>
        <w:t xml:space="preserve">
      The Department shall be headed by the Head, whose candidacy must meet the Qualification Requirements for the Categories of Posts of Employees of the Prosecution Authorities System of the Republic of Kazakhstan, approved by the Order of the Prosecutor General of the Republic of Kazakhstan № 90 dated August 28, 2013 (registered in the Register of State Registration of Normative Legal Acts № 8780).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Organization of the activities of the institutes and independent structural units of the Academy shall be carried out in accordance with the Charter of the Academy, these Rules, the work plans of the Academy, the regulations on the structural units of the Academy, as well as the acts on distribution of duties of employees and workers of the Academy.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20. The activities of the Institutes and Independent Structural Units of the Academy shall be carried out on the basis of interchangeability, accountability, planning, a combination of unity of command in solving issues of operational activities, personal responsibility of employees for fulfillment of their tasks.</w:t>
      </w:r>
    </w:p>
    <w:bookmarkEnd w:id="26"/>
    <w:bookmarkStart w:name="z29" w:id="27"/>
    <w:p>
      <w:pPr>
        <w:spacing w:after="0"/>
        <w:ind w:left="0"/>
        <w:jc w:val="both"/>
      </w:pPr>
      <w:r>
        <w:rPr>
          <w:rFonts w:ascii="Times New Roman"/>
          <w:b w:val="false"/>
          <w:i w:val="false"/>
          <w:color w:val="000000"/>
          <w:sz w:val="28"/>
        </w:rPr>
        <w:t>
      21. Academic cohorts and groups shall be formed on the principle of a sufficient number of students.</w:t>
      </w:r>
    </w:p>
    <w:bookmarkEnd w:id="27"/>
    <w:p>
      <w:pPr>
        <w:spacing w:after="0"/>
        <w:ind w:left="0"/>
        <w:jc w:val="both"/>
      </w:pPr>
      <w:r>
        <w:rPr>
          <w:rFonts w:ascii="Times New Roman"/>
          <w:b w:val="false"/>
          <w:i w:val="false"/>
          <w:color w:val="000000"/>
          <w:sz w:val="28"/>
        </w:rPr>
        <w:t>
      The occupancy of the academic cohort and group shall be determined by the Academy on its own.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22. The rights and obligations of students shall be determined by the Internal Rules, the Charter of the Academy and the Contract for provision of educational services.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Is excluded by the Order of the Prosecutor General of the Republic of Kazakhstan № 172 dated 18.11.2016 № 172 (shall be enforced upon expiry of ten calendar days after the day its first official publication).</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3. Organization of educational activities of the Academy </w:t>
      </w:r>
    </w:p>
    <w:bookmarkEnd w:id="29"/>
    <w:bookmarkStart w:name="z33" w:id="30"/>
    <w:p>
      <w:pPr>
        <w:spacing w:after="0"/>
        <w:ind w:left="0"/>
        <w:jc w:val="both"/>
      </w:pPr>
      <w:r>
        <w:rPr>
          <w:rFonts w:ascii="Times New Roman"/>
          <w:b w:val="false"/>
          <w:i w:val="false"/>
          <w:color w:val="000000"/>
          <w:sz w:val="28"/>
        </w:rPr>
        <w:t>
      24. Types of educational activities of the Academy:</w:t>
      </w:r>
    </w:p>
    <w:bookmarkEnd w:id="30"/>
    <w:p>
      <w:pPr>
        <w:spacing w:after="0"/>
        <w:ind w:left="0"/>
        <w:jc w:val="both"/>
      </w:pPr>
      <w:r>
        <w:rPr>
          <w:rFonts w:ascii="Times New Roman"/>
          <w:b w:val="false"/>
          <w:i w:val="false"/>
          <w:color w:val="000000"/>
          <w:sz w:val="28"/>
        </w:rPr>
        <w:t>
      1) extended education;</w:t>
      </w:r>
    </w:p>
    <w:p>
      <w:pPr>
        <w:spacing w:after="0"/>
        <w:ind w:left="0"/>
        <w:jc w:val="both"/>
      </w:pPr>
      <w:r>
        <w:rPr>
          <w:rFonts w:ascii="Times New Roman"/>
          <w:b w:val="false"/>
          <w:i w:val="false"/>
          <w:color w:val="000000"/>
          <w:sz w:val="28"/>
        </w:rPr>
        <w:t>
      2) postgraduate education.</w:t>
      </w:r>
    </w:p>
    <w:bookmarkStart w:name="z34" w:id="31"/>
    <w:p>
      <w:pPr>
        <w:spacing w:after="0"/>
        <w:ind w:left="0"/>
        <w:jc w:val="both"/>
      </w:pPr>
      <w:r>
        <w:rPr>
          <w:rFonts w:ascii="Times New Roman"/>
          <w:b w:val="false"/>
          <w:i w:val="false"/>
          <w:color w:val="000000"/>
          <w:sz w:val="28"/>
        </w:rPr>
        <w:t>
      24-1. The basic principle of study process shall be academic honesty, the implementation of which shall be provided by the Academy independently.</w:t>
      </w:r>
    </w:p>
    <w:bookmarkEnd w:id="31"/>
    <w:p>
      <w:pPr>
        <w:spacing w:after="0"/>
        <w:ind w:left="0"/>
        <w:jc w:val="both"/>
      </w:pPr>
      <w:r>
        <w:rPr>
          <w:rFonts w:ascii="Times New Roman"/>
          <w:b w:val="false"/>
          <w:i w:val="false"/>
          <w:color w:val="000000"/>
          <w:sz w:val="28"/>
        </w:rPr>
        <w:t xml:space="preserve">
      The principles of academic honesty shall be: </w:t>
      </w:r>
    </w:p>
    <w:p>
      <w:pPr>
        <w:spacing w:after="0"/>
        <w:ind w:left="0"/>
        <w:jc w:val="both"/>
      </w:pPr>
      <w:r>
        <w:rPr>
          <w:rFonts w:ascii="Times New Roman"/>
          <w:b w:val="false"/>
          <w:i w:val="false"/>
          <w:color w:val="000000"/>
          <w:sz w:val="28"/>
        </w:rPr>
        <w:t>
      1) conscientiousness – an honest, decent performance by students of the appreciated and unappreciated types of educational work;</w:t>
      </w:r>
    </w:p>
    <w:p>
      <w:pPr>
        <w:spacing w:after="0"/>
        <w:ind w:left="0"/>
        <w:jc w:val="both"/>
      </w:pPr>
      <w:r>
        <w:rPr>
          <w:rFonts w:ascii="Times New Roman"/>
          <w:b w:val="false"/>
          <w:i w:val="false"/>
          <w:color w:val="000000"/>
          <w:sz w:val="28"/>
        </w:rPr>
        <w:t xml:space="preserve">
      2) implementation of preservation of rights of the author and his assignees - recognition of authorship and preservation of works that are the subject of copyright through the correct transfer of someone else's speech, thoughts and information sources in the appreciated works; </w:t>
      </w:r>
    </w:p>
    <w:p>
      <w:pPr>
        <w:spacing w:after="0"/>
        <w:ind w:left="0"/>
        <w:jc w:val="both"/>
      </w:pPr>
      <w:r>
        <w:rPr>
          <w:rFonts w:ascii="Times New Roman"/>
          <w:b w:val="false"/>
          <w:i w:val="false"/>
          <w:color w:val="000000"/>
          <w:sz w:val="28"/>
        </w:rPr>
        <w:t>
      3) openness - transparency, mutual trust, open exchange of information and ideas between students and lectures;</w:t>
      </w:r>
    </w:p>
    <w:p>
      <w:pPr>
        <w:spacing w:after="0"/>
        <w:ind w:left="0"/>
        <w:jc w:val="both"/>
      </w:pPr>
      <w:r>
        <w:rPr>
          <w:rFonts w:ascii="Times New Roman"/>
          <w:b w:val="false"/>
          <w:i w:val="false"/>
          <w:color w:val="000000"/>
          <w:sz w:val="28"/>
        </w:rPr>
        <w:t>
      4) respect for the rights and freedoms of students - the right to freely express opinions and ideas;</w:t>
      </w:r>
    </w:p>
    <w:p>
      <w:pPr>
        <w:spacing w:after="0"/>
        <w:ind w:left="0"/>
        <w:jc w:val="both"/>
      </w:pPr>
      <w:r>
        <w:rPr>
          <w:rFonts w:ascii="Times New Roman"/>
          <w:b w:val="false"/>
          <w:i w:val="false"/>
          <w:color w:val="000000"/>
          <w:sz w:val="28"/>
        </w:rPr>
        <w:t>
      5) equality - obligation of each student to comply with the rules of academic honesty and equal responsibility for their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24-1 in accordance with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24-2. In order to improve the quality of educational activities, the Academy creates an internal quality assurance system based on international standards and guidelines to ensure the quality of postgraduate education in the European Higher Education Area (EHEA), which includes:</w:t>
      </w:r>
    </w:p>
    <w:bookmarkEnd w:id="32"/>
    <w:p>
      <w:pPr>
        <w:spacing w:after="0"/>
        <w:ind w:left="0"/>
        <w:jc w:val="both"/>
      </w:pPr>
      <w:r>
        <w:rPr>
          <w:rFonts w:ascii="Times New Roman"/>
          <w:b w:val="false"/>
          <w:i w:val="false"/>
          <w:color w:val="000000"/>
          <w:sz w:val="28"/>
        </w:rPr>
        <w:t>
      1) quality assurance policy;</w:t>
      </w:r>
    </w:p>
    <w:p>
      <w:pPr>
        <w:spacing w:after="0"/>
        <w:ind w:left="0"/>
        <w:jc w:val="both"/>
      </w:pPr>
      <w:r>
        <w:rPr>
          <w:rFonts w:ascii="Times New Roman"/>
          <w:b w:val="false"/>
          <w:i w:val="false"/>
          <w:color w:val="000000"/>
          <w:sz w:val="28"/>
        </w:rPr>
        <w:t>
      2) development and approval of programs;</w:t>
      </w:r>
    </w:p>
    <w:p>
      <w:pPr>
        <w:spacing w:after="0"/>
        <w:ind w:left="0"/>
        <w:jc w:val="both"/>
      </w:pPr>
      <w:r>
        <w:rPr>
          <w:rFonts w:ascii="Times New Roman"/>
          <w:b w:val="false"/>
          <w:i w:val="false"/>
          <w:color w:val="000000"/>
          <w:sz w:val="28"/>
        </w:rPr>
        <w:t>
      3) student-oriented training, teaching and assessment;</w:t>
      </w:r>
    </w:p>
    <w:p>
      <w:pPr>
        <w:spacing w:after="0"/>
        <w:ind w:left="0"/>
        <w:jc w:val="both"/>
      </w:pPr>
      <w:r>
        <w:rPr>
          <w:rFonts w:ascii="Times New Roman"/>
          <w:b w:val="false"/>
          <w:i w:val="false"/>
          <w:color w:val="000000"/>
          <w:sz w:val="28"/>
        </w:rPr>
        <w:t>
      4) admission of students, academic performance, recognition and certification;</w:t>
      </w:r>
    </w:p>
    <w:p>
      <w:pPr>
        <w:spacing w:after="0"/>
        <w:ind w:left="0"/>
        <w:jc w:val="both"/>
      </w:pPr>
      <w:r>
        <w:rPr>
          <w:rFonts w:ascii="Times New Roman"/>
          <w:b w:val="false"/>
          <w:i w:val="false"/>
          <w:color w:val="000000"/>
          <w:sz w:val="28"/>
        </w:rPr>
        <w:t>
      5) teaching staff;</w:t>
      </w:r>
    </w:p>
    <w:p>
      <w:pPr>
        <w:spacing w:after="0"/>
        <w:ind w:left="0"/>
        <w:jc w:val="both"/>
      </w:pPr>
      <w:r>
        <w:rPr>
          <w:rFonts w:ascii="Times New Roman"/>
          <w:b w:val="false"/>
          <w:i w:val="false"/>
          <w:color w:val="000000"/>
          <w:sz w:val="28"/>
        </w:rPr>
        <w:t>
      6) learning resources and student support system;</w:t>
      </w:r>
    </w:p>
    <w:p>
      <w:pPr>
        <w:spacing w:after="0"/>
        <w:ind w:left="0"/>
        <w:jc w:val="both"/>
      </w:pPr>
      <w:r>
        <w:rPr>
          <w:rFonts w:ascii="Times New Roman"/>
          <w:b w:val="false"/>
          <w:i w:val="false"/>
          <w:color w:val="000000"/>
          <w:sz w:val="28"/>
        </w:rPr>
        <w:t>
      7) information management;</w:t>
      </w:r>
    </w:p>
    <w:p>
      <w:pPr>
        <w:spacing w:after="0"/>
        <w:ind w:left="0"/>
        <w:jc w:val="both"/>
      </w:pPr>
      <w:r>
        <w:rPr>
          <w:rFonts w:ascii="Times New Roman"/>
          <w:b w:val="false"/>
          <w:i w:val="false"/>
          <w:color w:val="000000"/>
          <w:sz w:val="28"/>
        </w:rPr>
        <w:t>
      8) public awareness;</w:t>
      </w:r>
    </w:p>
    <w:p>
      <w:pPr>
        <w:spacing w:after="0"/>
        <w:ind w:left="0"/>
        <w:jc w:val="both"/>
      </w:pPr>
      <w:r>
        <w:rPr>
          <w:rFonts w:ascii="Times New Roman"/>
          <w:b w:val="false"/>
          <w:i w:val="false"/>
          <w:color w:val="000000"/>
          <w:sz w:val="28"/>
        </w:rPr>
        <w:t>
      9) continuous monitoring and periodic evaluation of programs;</w:t>
      </w:r>
    </w:p>
    <w:p>
      <w:pPr>
        <w:spacing w:after="0"/>
        <w:ind w:left="0"/>
        <w:jc w:val="both"/>
      </w:pPr>
      <w:r>
        <w:rPr>
          <w:rFonts w:ascii="Times New Roman"/>
          <w:b w:val="false"/>
          <w:i w:val="false"/>
          <w:color w:val="000000"/>
          <w:sz w:val="28"/>
        </w:rPr>
        <w:t>
      10) periodic external quality assurance.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24-2 in accordance with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25. Additional education shall be carried out in IVT in the following forms:</w:t>
      </w:r>
    </w:p>
    <w:bookmarkEnd w:id="33"/>
    <w:p>
      <w:pPr>
        <w:spacing w:after="0"/>
        <w:ind w:left="0"/>
        <w:jc w:val="both"/>
      </w:pPr>
      <w:r>
        <w:rPr>
          <w:rFonts w:ascii="Times New Roman"/>
          <w:b w:val="false"/>
          <w:i w:val="false"/>
          <w:color w:val="000000"/>
          <w:sz w:val="28"/>
        </w:rPr>
        <w:t>
      1) professional retraining and advanced training of law enforcement officers who are in the Presidential reserve of the leadership of law enforcement agencies of the Republic of Kazakhstan;</w:t>
      </w:r>
    </w:p>
    <w:p>
      <w:pPr>
        <w:spacing w:after="0"/>
        <w:ind w:left="0"/>
        <w:jc w:val="both"/>
      </w:pPr>
      <w:r>
        <w:rPr>
          <w:rFonts w:ascii="Times New Roman"/>
          <w:b w:val="false"/>
          <w:i w:val="false"/>
          <w:color w:val="000000"/>
          <w:sz w:val="28"/>
        </w:rPr>
        <w:t>
      2) professional retraining and advanced training of law enforcement officers of the Republic of Kazakhstan;</w:t>
      </w:r>
    </w:p>
    <w:p>
      <w:pPr>
        <w:spacing w:after="0"/>
        <w:ind w:left="0"/>
        <w:jc w:val="both"/>
      </w:pPr>
      <w:r>
        <w:rPr>
          <w:rFonts w:ascii="Times New Roman"/>
          <w:b w:val="false"/>
          <w:i w:val="false"/>
          <w:color w:val="000000"/>
          <w:sz w:val="28"/>
        </w:rPr>
        <w:t>
      3) professional training of law enforcement officers of the Republic of Kazakhstan.</w:t>
      </w:r>
    </w:p>
    <w:p>
      <w:pPr>
        <w:spacing w:after="0"/>
        <w:ind w:left="0"/>
        <w:jc w:val="both"/>
      </w:pPr>
      <w:r>
        <w:rPr>
          <w:rFonts w:ascii="Times New Roman"/>
          <w:b w:val="false"/>
          <w:i w:val="false"/>
          <w:color w:val="000000"/>
          <w:sz w:val="28"/>
        </w:rPr>
        <w:t xml:space="preserve">
      The procedure for professional training, retraining and advanced training of law enforcement officers at the Academy is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26. The students (listeners) of the IVT live in the dormitory of the Academy and are within its territory during the period of vocational training, retraining and advanced training.</w:t>
      </w:r>
    </w:p>
    <w:bookmarkEnd w:id="34"/>
    <w:p>
      <w:pPr>
        <w:spacing w:after="0"/>
        <w:ind w:left="0"/>
        <w:jc w:val="both"/>
      </w:pPr>
      <w:r>
        <w:rPr>
          <w:rFonts w:ascii="Times New Roman"/>
          <w:b w:val="false"/>
          <w:i w:val="false"/>
          <w:color w:val="000000"/>
          <w:sz w:val="28"/>
        </w:rPr>
        <w:t>
      Departure outside the territory of the educational institution and living outside the dormitory of the Academy shall be allowed with the written permission of the Rector of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27. Professional training, retraining and advanced training of Law Enforcement employees shall provide for a system of organizational, educational measures aimed at inculcating, deepening and expanding the necessary knowledge, skills, taking into account the specifics of official activities, to carry out tasks assigned to Law Enforcement Agencies.</w:t>
      </w:r>
    </w:p>
    <w:bookmarkEnd w:id="35"/>
    <w:bookmarkStart w:name="z39" w:id="36"/>
    <w:p>
      <w:pPr>
        <w:spacing w:after="0"/>
        <w:ind w:left="0"/>
        <w:jc w:val="both"/>
      </w:pPr>
      <w:r>
        <w:rPr>
          <w:rFonts w:ascii="Times New Roman"/>
          <w:b w:val="false"/>
          <w:i w:val="false"/>
          <w:color w:val="000000"/>
          <w:sz w:val="28"/>
        </w:rPr>
        <w:t>
      28. The content of the educational process of professional training, retraining and advanced training of Law Enforcement employees shall be determined by the relevant curricula, which shall be agreed with Law Enforcement Agencies, and curricula.</w:t>
      </w:r>
    </w:p>
    <w:bookmarkEnd w:id="36"/>
    <w:bookmarkStart w:name="z40" w:id="37"/>
    <w:p>
      <w:pPr>
        <w:spacing w:after="0"/>
        <w:ind w:left="0"/>
        <w:jc w:val="both"/>
      </w:pPr>
      <w:r>
        <w:rPr>
          <w:rFonts w:ascii="Times New Roman"/>
          <w:b w:val="false"/>
          <w:i w:val="false"/>
          <w:color w:val="000000"/>
          <w:sz w:val="28"/>
        </w:rPr>
        <w:t>
      29. Educational and methodological work of the IVT includes:</w:t>
      </w:r>
    </w:p>
    <w:bookmarkEnd w:id="37"/>
    <w:p>
      <w:pPr>
        <w:spacing w:after="0"/>
        <w:ind w:left="0"/>
        <w:jc w:val="both"/>
      </w:pPr>
      <w:r>
        <w:rPr>
          <w:rFonts w:ascii="Times New Roman"/>
          <w:b w:val="false"/>
          <w:i w:val="false"/>
          <w:color w:val="000000"/>
          <w:sz w:val="28"/>
        </w:rPr>
        <w:t xml:space="preserve">
      1) generalization and analysis of results of the educational process of initial professional training, professional development courses and retraining of law enforcement officers, including those who are in the Presidential Reserve of the leadership of law enforcement agencies; </w:t>
      </w:r>
    </w:p>
    <w:p>
      <w:pPr>
        <w:spacing w:after="0"/>
        <w:ind w:left="0"/>
        <w:jc w:val="both"/>
      </w:pPr>
      <w:r>
        <w:rPr>
          <w:rFonts w:ascii="Times New Roman"/>
          <w:b w:val="false"/>
          <w:i w:val="false"/>
          <w:color w:val="000000"/>
          <w:sz w:val="28"/>
        </w:rPr>
        <w:t>
      2) generalization of the practice of IVT activities, making proposals for improvement, introduction of innovative forms and methods of organizational-analytical and educational- methodological work;</w:t>
      </w:r>
    </w:p>
    <w:p>
      <w:pPr>
        <w:spacing w:after="0"/>
        <w:ind w:left="0"/>
        <w:jc w:val="both"/>
      </w:pPr>
      <w:r>
        <w:rPr>
          <w:rFonts w:ascii="Times New Roman"/>
          <w:b w:val="false"/>
          <w:i w:val="false"/>
          <w:color w:val="000000"/>
          <w:sz w:val="28"/>
        </w:rPr>
        <w:t>
      3) involvement of leading scientists, experts, practitioners of law enforcement and government agencies, including foreign ones, in conducting training sessions along with full-time employees of the IVT;</w:t>
      </w:r>
    </w:p>
    <w:p>
      <w:pPr>
        <w:spacing w:after="0"/>
        <w:ind w:left="0"/>
        <w:jc w:val="both"/>
      </w:pPr>
      <w:r>
        <w:rPr>
          <w:rFonts w:ascii="Times New Roman"/>
          <w:b w:val="false"/>
          <w:i w:val="false"/>
          <w:color w:val="000000"/>
          <w:sz w:val="28"/>
        </w:rPr>
        <w:t>
      4) organization of the educational process, development and approval of curricula and programs;</w:t>
      </w:r>
    </w:p>
    <w:p>
      <w:pPr>
        <w:spacing w:after="0"/>
        <w:ind w:left="0"/>
        <w:jc w:val="both"/>
      </w:pPr>
      <w:r>
        <w:rPr>
          <w:rFonts w:ascii="Times New Roman"/>
          <w:b w:val="false"/>
          <w:i w:val="false"/>
          <w:color w:val="000000"/>
          <w:sz w:val="28"/>
        </w:rPr>
        <w:t xml:space="preserve">
      5) coordination of training sessions in accordance with work plans; </w:t>
      </w:r>
    </w:p>
    <w:p>
      <w:pPr>
        <w:spacing w:after="0"/>
        <w:ind w:left="0"/>
        <w:jc w:val="both"/>
      </w:pPr>
      <w:r>
        <w:rPr>
          <w:rFonts w:ascii="Times New Roman"/>
          <w:b w:val="false"/>
          <w:i w:val="false"/>
          <w:color w:val="000000"/>
          <w:sz w:val="28"/>
        </w:rPr>
        <w:t>
      6) organization and educational-methodological support of independent work of students;</w:t>
      </w:r>
    </w:p>
    <w:p>
      <w:pPr>
        <w:spacing w:after="0"/>
        <w:ind w:left="0"/>
        <w:jc w:val="both"/>
      </w:pPr>
      <w:r>
        <w:rPr>
          <w:rFonts w:ascii="Times New Roman"/>
          <w:b w:val="false"/>
          <w:i w:val="false"/>
          <w:color w:val="000000"/>
          <w:sz w:val="28"/>
        </w:rPr>
        <w:t>
      7) organization and conducting of training events (seminars, conferences, round tables, trainings) for law enforcement officers;</w:t>
      </w:r>
    </w:p>
    <w:p>
      <w:pPr>
        <w:spacing w:after="0"/>
        <w:ind w:left="0"/>
        <w:jc w:val="both"/>
      </w:pPr>
      <w:r>
        <w:rPr>
          <w:rFonts w:ascii="Times New Roman"/>
          <w:b w:val="false"/>
          <w:i w:val="false"/>
          <w:color w:val="000000"/>
          <w:sz w:val="28"/>
        </w:rPr>
        <w:t>
      8) cooperation and interaction with state and law enforcement agencies, including foreign ones, within the framework of concluded agreements, scientific, educational, specialized organizations and institutions in the implementation of educational and educational-methodological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30. Distance learning is allowed in the IVT with additional education.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31. Training of personnel on educational programs of postgraduate education shall be carried out at the relevant Institute, on full-time education, as well as distance learning.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31is in the wording of the order of the Prosecutor General of the Republic of Kazakhstan dated 03.07.2021 № 95 (shall be enforced upon expiry of ten calendar days after the day of its first official publication).</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32. Admission to training at the Academy shall be carried out in accordance with the order of the General Prosecutor of the Republic of Kazakhstan from January 27, 2023 № 45 “On approval of the Rules of admission to training at the Academy of Law Enforcement Agencies under the General Prosecutor's Office of the Republic of Kazakhstan, implementing educational programs of postgraduate education” (registered in the Register of State Registration of Regulatory Legal Acts № 31809).</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order of the General Prosecutor of RK dated 12.04.2024 № 47 (shall be enforced after ten calendar days after the date of its first official publication).</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33. The educational and methodological work of the IPE shall be carried out by Departments that implement and coordinate the educational process, educational programs of postgraduate and extended education.</w:t>
      </w:r>
    </w:p>
    <w:bookmarkEnd w:id="41"/>
    <w:bookmarkStart w:name="z45" w:id="42"/>
    <w:p>
      <w:pPr>
        <w:spacing w:after="0"/>
        <w:ind w:left="0"/>
        <w:jc w:val="both"/>
      </w:pPr>
      <w:r>
        <w:rPr>
          <w:rFonts w:ascii="Times New Roman"/>
          <w:b w:val="false"/>
          <w:i w:val="false"/>
          <w:color w:val="000000"/>
          <w:sz w:val="28"/>
        </w:rPr>
        <w:t>
      34. To organize the educational process in postgraduate education programs, credit technology shall be used.</w:t>
      </w:r>
    </w:p>
    <w:bookmarkEnd w:id="42"/>
    <w:bookmarkStart w:name="z46" w:id="43"/>
    <w:p>
      <w:pPr>
        <w:spacing w:after="0"/>
        <w:ind w:left="0"/>
        <w:jc w:val="both"/>
      </w:pPr>
      <w:r>
        <w:rPr>
          <w:rFonts w:ascii="Times New Roman"/>
          <w:b w:val="false"/>
          <w:i w:val="false"/>
          <w:color w:val="000000"/>
          <w:sz w:val="28"/>
        </w:rPr>
        <w:t>
      35. The following types of academic work shall be established at the Academy: lectures, practical (seminars) classes, consultations, independent work of students, independent work of students under the guidance of a teacher, workshops, professional practice and internship, scientific management of dissertation research by undergraduates and doctoral students, preparation and conduct of the current control, performance monitoring, intermediate and final certification of students.</w:t>
      </w:r>
    </w:p>
    <w:bookmarkEnd w:id="43"/>
    <w:p>
      <w:pPr>
        <w:spacing w:after="0"/>
        <w:ind w:left="0"/>
        <w:jc w:val="both"/>
      </w:pPr>
      <w:r>
        <w:rPr>
          <w:rFonts w:ascii="Times New Roman"/>
          <w:b w:val="false"/>
          <w:i w:val="false"/>
          <w:color w:val="000000"/>
          <w:sz w:val="28"/>
        </w:rPr>
        <w:t>
      36. Employees holding the posts of Rector, Vice-Rector, Director of the Institute, Deputy Director of the Institute, Head of the Department, Professor, Associate Professor, Senior Lecturer, and Lecturer shall be allowed to conduct lectures, scientific management of dissertation research of undergraduates and doctoral students.</w:t>
      </w:r>
    </w:p>
    <w:p>
      <w:pPr>
        <w:spacing w:after="0"/>
        <w:ind w:left="0"/>
        <w:jc w:val="both"/>
      </w:pPr>
      <w:r>
        <w:rPr>
          <w:rFonts w:ascii="Times New Roman"/>
          <w:b w:val="false"/>
          <w:i w:val="false"/>
          <w:color w:val="000000"/>
          <w:sz w:val="28"/>
        </w:rPr>
        <w:t>
      Also, lecturers and/or other types of educational work shall be allowed to attract scientific workers, specialists with practical experience in the profile of the specialty for at least three years.</w:t>
      </w:r>
    </w:p>
    <w:p>
      <w:pPr>
        <w:spacing w:after="0"/>
        <w:ind w:left="0"/>
        <w:jc w:val="both"/>
      </w:pPr>
      <w:r>
        <w:rPr>
          <w:rFonts w:ascii="Times New Roman"/>
          <w:b w:val="false"/>
          <w:i w:val="false"/>
          <w:color w:val="000000"/>
          <w:sz w:val="28"/>
        </w:rPr>
        <w:t>
      Moreover, the compliance of basic education or academic degrees or academic degrees with the profile of the taught disciplines shall not be mandatory and shall be independently regulated by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37. The Academy independently determines the forms, methods and means of training, creating the most favorable conditions for students to master the educational programs of postgraduate and extended education.</w:t>
      </w:r>
    </w:p>
    <w:bookmarkEnd w:id="44"/>
    <w:p>
      <w:pPr>
        <w:spacing w:after="0"/>
        <w:ind w:left="0"/>
        <w:jc w:val="both"/>
      </w:pPr>
      <w:r>
        <w:rPr>
          <w:rFonts w:ascii="Times New Roman"/>
          <w:b w:val="false"/>
          <w:i w:val="false"/>
          <w:color w:val="000000"/>
          <w:sz w:val="28"/>
        </w:rPr>
        <w:t>
      The Academy shall independently determine the time norms by types of educational work when planning and organizing the educational process, the ratio of the volume of hours between types of educational work, learning technologies, including distance learning.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Order of the Prosecutor General of the Republic of Kazakhstan № 134 dated 04.12.2018 (shall be enforced upon expiry of ten calendar days after the day its first official publication); dated 03.07.2021 № 95 (shall be enforced upon expiry of ten calendar days after the day of its first official publication).</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38. Teaching methods of the Academy, methods and forms of organizing and conducting academic classes on the basis of the educational program and working curriculums shall be independently chosen by the Academy teacher.</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39. The structure of educational program of the magistracy includes various types of educational and scientific work that determine the content of education.</w:t>
      </w:r>
    </w:p>
    <w:bookmarkEnd w:id="46"/>
    <w:p>
      <w:pPr>
        <w:spacing w:after="0"/>
        <w:ind w:left="0"/>
        <w:jc w:val="both"/>
      </w:pPr>
      <w:r>
        <w:rPr>
          <w:rFonts w:ascii="Times New Roman"/>
          <w:b w:val="false"/>
          <w:i w:val="false"/>
          <w:color w:val="000000"/>
          <w:sz w:val="28"/>
        </w:rPr>
        <w:t>
      The structure of educational program of the master's program shall be:</w:t>
      </w:r>
    </w:p>
    <w:p>
      <w:pPr>
        <w:spacing w:after="0"/>
        <w:ind w:left="0"/>
        <w:jc w:val="both"/>
      </w:pPr>
      <w:r>
        <w:rPr>
          <w:rFonts w:ascii="Times New Roman"/>
          <w:b w:val="false"/>
          <w:i w:val="false"/>
          <w:color w:val="000000"/>
          <w:sz w:val="28"/>
        </w:rPr>
        <w:t>
      1) theoretical training, including the study of cycles of basic and major disciplines;</w:t>
      </w:r>
    </w:p>
    <w:p>
      <w:pPr>
        <w:spacing w:after="0"/>
        <w:ind w:left="0"/>
        <w:jc w:val="both"/>
      </w:pPr>
      <w:r>
        <w:rPr>
          <w:rFonts w:ascii="Times New Roman"/>
          <w:b w:val="false"/>
          <w:i w:val="false"/>
          <w:color w:val="000000"/>
          <w:sz w:val="28"/>
        </w:rPr>
        <w:t>
      2) practical training: various types of practices, scientific or professional internships;</w:t>
      </w:r>
    </w:p>
    <w:p>
      <w:pPr>
        <w:spacing w:after="0"/>
        <w:ind w:left="0"/>
        <w:jc w:val="both"/>
      </w:pPr>
      <w:r>
        <w:rPr>
          <w:rFonts w:ascii="Times New Roman"/>
          <w:b w:val="false"/>
          <w:i w:val="false"/>
          <w:color w:val="000000"/>
          <w:sz w:val="28"/>
        </w:rPr>
        <w:t>
      3) research work, including the implementation of a master's dissertation, - for scientific and pedagogical master's degree, or experimental research work, including the implementation of a master's project - for specialized magistracy;</w:t>
      </w:r>
    </w:p>
    <w:p>
      <w:pPr>
        <w:spacing w:after="0"/>
        <w:ind w:left="0"/>
        <w:jc w:val="both"/>
      </w:pPr>
      <w:r>
        <w:rPr>
          <w:rFonts w:ascii="Times New Roman"/>
          <w:b w:val="false"/>
          <w:i w:val="false"/>
          <w:color w:val="000000"/>
          <w:sz w:val="28"/>
        </w:rPr>
        <w:t>
      4) final certification.</w:t>
      </w:r>
    </w:p>
    <w:p>
      <w:pPr>
        <w:spacing w:after="0"/>
        <w:ind w:left="0"/>
        <w:jc w:val="both"/>
      </w:pPr>
      <w:r>
        <w:rPr>
          <w:rFonts w:ascii="Times New Roman"/>
          <w:b w:val="false"/>
          <w:i w:val="false"/>
          <w:color w:val="000000"/>
          <w:sz w:val="28"/>
        </w:rPr>
        <w:t>
      The structure of the educational program of doctoral studies includes two components: educational and scientific, which determine the content of education.</w:t>
      </w:r>
    </w:p>
    <w:p>
      <w:pPr>
        <w:spacing w:after="0"/>
        <w:ind w:left="0"/>
        <w:jc w:val="both"/>
      </w:pPr>
      <w:r>
        <w:rPr>
          <w:rFonts w:ascii="Times New Roman"/>
          <w:b w:val="false"/>
          <w:i w:val="false"/>
          <w:color w:val="000000"/>
          <w:sz w:val="28"/>
        </w:rPr>
        <w:t>
      The structure of the educational doctoral program shall be:</w:t>
      </w:r>
    </w:p>
    <w:p>
      <w:pPr>
        <w:spacing w:after="0"/>
        <w:ind w:left="0"/>
        <w:jc w:val="both"/>
      </w:pPr>
      <w:r>
        <w:rPr>
          <w:rFonts w:ascii="Times New Roman"/>
          <w:b w:val="false"/>
          <w:i w:val="false"/>
          <w:color w:val="000000"/>
          <w:sz w:val="28"/>
        </w:rPr>
        <w:t>
      1) theoretical training, including the study of the cycle of basic and core disciplines;</w:t>
      </w:r>
    </w:p>
    <w:p>
      <w:pPr>
        <w:spacing w:after="0"/>
        <w:ind w:left="0"/>
        <w:jc w:val="both"/>
      </w:pPr>
      <w:r>
        <w:rPr>
          <w:rFonts w:ascii="Times New Roman"/>
          <w:b w:val="false"/>
          <w:i w:val="false"/>
          <w:color w:val="000000"/>
          <w:sz w:val="28"/>
        </w:rPr>
        <w:t>
      2) practical training of doctoral students: various types of professional practices, scientific or professional internships;</w:t>
      </w:r>
    </w:p>
    <w:p>
      <w:pPr>
        <w:spacing w:after="0"/>
        <w:ind w:left="0"/>
        <w:jc w:val="both"/>
      </w:pPr>
      <w:r>
        <w:rPr>
          <w:rFonts w:ascii="Times New Roman"/>
          <w:b w:val="false"/>
          <w:i w:val="false"/>
          <w:color w:val="000000"/>
          <w:sz w:val="28"/>
        </w:rPr>
        <w:t>
      3) research work, including the implementation of a doctoral dissertation;</w:t>
      </w:r>
    </w:p>
    <w:p>
      <w:pPr>
        <w:spacing w:after="0"/>
        <w:ind w:left="0"/>
        <w:jc w:val="both"/>
      </w:pPr>
      <w:r>
        <w:rPr>
          <w:rFonts w:ascii="Times New Roman"/>
          <w:b w:val="false"/>
          <w:i w:val="false"/>
          <w:color w:val="000000"/>
          <w:sz w:val="28"/>
        </w:rPr>
        <w:t>
      4) final certification.</w:t>
      </w:r>
    </w:p>
    <w:p>
      <w:pPr>
        <w:spacing w:after="0"/>
        <w:ind w:left="0"/>
        <w:jc w:val="both"/>
      </w:pPr>
      <w:r>
        <w:rPr>
          <w:rFonts w:ascii="Times New Roman"/>
          <w:b w:val="false"/>
          <w:i w:val="false"/>
          <w:color w:val="000000"/>
          <w:sz w:val="28"/>
        </w:rPr>
        <w:t>
      Each discipline shall be studied during one academic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40. The Academy independently shall choose the forms, procedure and frequency of conducting current and midterm performance monitoring and intermediate certification of students.</w:t>
      </w:r>
    </w:p>
    <w:bookmarkEnd w:id="47"/>
    <w:bookmarkStart w:name="z51" w:id="48"/>
    <w:p>
      <w:pPr>
        <w:spacing w:after="0"/>
        <w:ind w:left="0"/>
        <w:jc w:val="both"/>
      </w:pPr>
      <w:r>
        <w:rPr>
          <w:rFonts w:ascii="Times New Roman"/>
          <w:b w:val="false"/>
          <w:i w:val="false"/>
          <w:color w:val="000000"/>
          <w:sz w:val="28"/>
        </w:rPr>
        <w:t>
      41. The unit responsible for organization of educational and methodological work form academic groups, keep record of completed credits, organize and conduct intermediate and final certifications, transcribe students, write all the history of educational achievements of students at the Academy.</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42. In order to ensure the educational process, training grounds shall be created.</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43. To assess the knowledge of students in the Academy, a system for monitoring and assessment of the knowledge of students shall be functioning.</w:t>
      </w:r>
    </w:p>
    <w:bookmarkEnd w:id="50"/>
    <w:p>
      <w:pPr>
        <w:spacing w:after="0"/>
        <w:ind w:left="0"/>
        <w:jc w:val="both"/>
      </w:pPr>
      <w:r>
        <w:rPr>
          <w:rFonts w:ascii="Times New Roman"/>
          <w:b w:val="false"/>
          <w:i w:val="false"/>
          <w:color w:val="000000"/>
          <w:sz w:val="28"/>
        </w:rPr>
        <w:t>
      The system of control of educational achievements of students at the Academy includes various forms: input and output control, current control of academic performance, intermediate certification and final certification.</w:t>
      </w:r>
    </w:p>
    <w:bookmarkStart w:name="z54" w:id="51"/>
    <w:p>
      <w:pPr>
        <w:spacing w:after="0"/>
        <w:ind w:left="0"/>
        <w:jc w:val="both"/>
      </w:pPr>
      <w:r>
        <w:rPr>
          <w:rFonts w:ascii="Times New Roman"/>
          <w:b w:val="false"/>
          <w:i w:val="false"/>
          <w:color w:val="000000"/>
          <w:sz w:val="28"/>
        </w:rPr>
        <w:t>
      44. The entrance control shall be carried out in the IVT in order to determine the level of professional competencies of students before taking the courses, the output control - after taking the courses.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is in the wording of the order of the Prosecutor General of the Republic of Kazakhstan dated 03.07.2021 № 95 (shall be enforced upon expiry of ten calendar days after the day of its first official publication).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45. The educational activity of the Academy shall be an integral part of the educational process and are aimed at the formation of patriotism, citizenship, internationalism, high morality, moral culture, interfaith tolerance, as well as the development of diverse interests and abilities of students.</w:t>
      </w:r>
    </w:p>
    <w:bookmarkEnd w:id="52"/>
    <w:p>
      <w:pPr>
        <w:spacing w:after="0"/>
        <w:ind w:left="0"/>
        <w:jc w:val="both"/>
      </w:pPr>
      <w:r>
        <w:rPr>
          <w:rFonts w:ascii="Times New Roman"/>
          <w:b w:val="false"/>
          <w:i w:val="false"/>
          <w:color w:val="000000"/>
          <w:sz w:val="28"/>
        </w:rPr>
        <w:t>
      Educational work at the Academy shall be an additional type of work and shall be carried out on the basis of mutual respect for human dignity of students and faculty.</w:t>
      </w:r>
    </w:p>
    <w:p>
      <w:pPr>
        <w:spacing w:after="0"/>
        <w:ind w:left="0"/>
        <w:jc w:val="both"/>
      </w:pPr>
      <w:r>
        <w:rPr>
          <w:rFonts w:ascii="Times New Roman"/>
          <w:b w:val="false"/>
          <w:i w:val="false"/>
          <w:color w:val="000000"/>
          <w:sz w:val="28"/>
        </w:rPr>
        <w:t>
      The Academy provides the functioning of the Council of undergraduates and doctoral students, created by students on a voluntary basis.</w:t>
      </w:r>
    </w:p>
    <w:p>
      <w:pPr>
        <w:spacing w:after="0"/>
        <w:ind w:left="0"/>
        <w:jc w:val="both"/>
      </w:pPr>
      <w:r>
        <w:rPr>
          <w:rFonts w:ascii="Times New Roman"/>
          <w:b w:val="false"/>
          <w:i w:val="false"/>
          <w:color w:val="000000"/>
          <w:sz w:val="28"/>
        </w:rPr>
        <w:t>
      The procedure for organizing the activity of the Council of undergraduates and doctoral students shall be determined by the Academy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Order of the Prosecutor General of the Republic of Kazakhstan № 134 dated 04.12.2018 (shall be enforced upon expiry of ten calendar days after the day its first official publication).</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46. The educational activity of the Academy include:</w:t>
      </w:r>
    </w:p>
    <w:bookmarkEnd w:id="53"/>
    <w:p>
      <w:pPr>
        <w:spacing w:after="0"/>
        <w:ind w:left="0"/>
        <w:jc w:val="both"/>
      </w:pPr>
      <w:r>
        <w:rPr>
          <w:rFonts w:ascii="Times New Roman"/>
          <w:b w:val="false"/>
          <w:i w:val="false"/>
          <w:color w:val="000000"/>
          <w:sz w:val="28"/>
        </w:rPr>
        <w:t>
      1) formation of students' feelings of patriotism, citizenship, internationalism, high morality;</w:t>
      </w:r>
    </w:p>
    <w:p>
      <w:pPr>
        <w:spacing w:after="0"/>
        <w:ind w:left="0"/>
        <w:jc w:val="both"/>
      </w:pPr>
      <w:r>
        <w:rPr>
          <w:rFonts w:ascii="Times New Roman"/>
          <w:b w:val="false"/>
          <w:i w:val="false"/>
          <w:color w:val="000000"/>
          <w:sz w:val="28"/>
        </w:rPr>
        <w:t>
      2) formation of students' skills to independently and competently make and implement decisions;</w:t>
      </w:r>
    </w:p>
    <w:p>
      <w:pPr>
        <w:spacing w:after="0"/>
        <w:ind w:left="0"/>
        <w:jc w:val="both"/>
      </w:pPr>
      <w:r>
        <w:rPr>
          <w:rFonts w:ascii="Times New Roman"/>
          <w:b w:val="false"/>
          <w:i w:val="false"/>
          <w:color w:val="000000"/>
          <w:sz w:val="28"/>
        </w:rPr>
        <w:t>
      3) encouraging students to a healthy lifestyle, active participation in social events;</w:t>
      </w:r>
    </w:p>
    <w:p>
      <w:pPr>
        <w:spacing w:after="0"/>
        <w:ind w:left="0"/>
        <w:jc w:val="both"/>
      </w:pPr>
      <w:r>
        <w:rPr>
          <w:rFonts w:ascii="Times New Roman"/>
          <w:b w:val="false"/>
          <w:i w:val="false"/>
          <w:color w:val="000000"/>
          <w:sz w:val="28"/>
        </w:rPr>
        <w:t>
      4) conducting thematic events that contribute to expanding the horizons of students, the formation of a value attitude to their profession;</w:t>
      </w:r>
    </w:p>
    <w:p>
      <w:pPr>
        <w:spacing w:after="0"/>
        <w:ind w:left="0"/>
        <w:jc w:val="both"/>
      </w:pPr>
      <w:r>
        <w:rPr>
          <w:rFonts w:ascii="Times New Roman"/>
          <w:b w:val="false"/>
          <w:i w:val="false"/>
          <w:color w:val="000000"/>
          <w:sz w:val="28"/>
        </w:rPr>
        <w:t>
      5) formation of students’ anti-corruption behavior;</w:t>
      </w:r>
    </w:p>
    <w:p>
      <w:pPr>
        <w:spacing w:after="0"/>
        <w:ind w:left="0"/>
        <w:jc w:val="both"/>
      </w:pPr>
      <w:r>
        <w:rPr>
          <w:rFonts w:ascii="Times New Roman"/>
          <w:b w:val="false"/>
          <w:i w:val="false"/>
          <w:color w:val="000000"/>
          <w:sz w:val="28"/>
        </w:rPr>
        <w:t>
      6) increasing the level of legal awareness and legal culture among students.</w:t>
      </w:r>
    </w:p>
    <w:p>
      <w:pPr>
        <w:spacing w:after="0"/>
        <w:ind w:left="0"/>
        <w:jc w:val="left"/>
      </w:pPr>
      <w:r>
        <w:rPr>
          <w:rFonts w:ascii="Times New Roman"/>
          <w:b/>
          <w:i w:val="false"/>
          <w:color w:val="000000"/>
        </w:rPr>
        <w:t xml:space="preserve"> 4. Research and international activities of the Academy</w:t>
      </w:r>
    </w:p>
    <w:bookmarkStart w:name="z57" w:id="54"/>
    <w:p>
      <w:pPr>
        <w:spacing w:after="0"/>
        <w:ind w:left="0"/>
        <w:jc w:val="both"/>
      </w:pPr>
      <w:r>
        <w:rPr>
          <w:rFonts w:ascii="Times New Roman"/>
          <w:b w:val="false"/>
          <w:i w:val="false"/>
          <w:color w:val="000000"/>
          <w:sz w:val="28"/>
        </w:rPr>
        <w:t>
      47. To carry out, within the established powers and the assigned functions of organizing, coordinating and conducting fundamental and applied interdepartmental scientific research of problems of activity of Law Enforcement Agencies, as well as monitoring scientific research conducted by departmental scientific institutions and educational organizations of Law Enforcement Agencies, the Academy has an independent structural unit – the IRI.</w:t>
      </w:r>
    </w:p>
    <w:bookmarkEnd w:id="54"/>
    <w:bookmarkStart w:name="z58" w:id="55"/>
    <w:p>
      <w:pPr>
        <w:spacing w:after="0"/>
        <w:ind w:left="0"/>
        <w:jc w:val="both"/>
      </w:pPr>
      <w:r>
        <w:rPr>
          <w:rFonts w:ascii="Times New Roman"/>
          <w:b w:val="false"/>
          <w:i w:val="false"/>
          <w:color w:val="000000"/>
          <w:sz w:val="28"/>
        </w:rPr>
        <w:t>
      48. Research activity shall be aimed at ensuring the integration of science and education, the development on this basis of the scientific and educational process, competitive research and innovation as an essential element of a productive and effective national innovation system.</w:t>
      </w:r>
    </w:p>
    <w:bookmarkEnd w:id="55"/>
    <w:bookmarkStart w:name="z59" w:id="56"/>
    <w:p>
      <w:pPr>
        <w:spacing w:after="0"/>
        <w:ind w:left="0"/>
        <w:jc w:val="both"/>
      </w:pPr>
      <w:r>
        <w:rPr>
          <w:rFonts w:ascii="Times New Roman"/>
          <w:b w:val="false"/>
          <w:i w:val="false"/>
          <w:color w:val="000000"/>
          <w:sz w:val="28"/>
        </w:rPr>
        <w:t>
      49. The organization and conduct of research (basic, search, applied scientific research) and implementation of their results in the activity of Law Enforcement and other State Agencies and rulemaking shall be carried out by the IRI of the Academy.</w:t>
      </w:r>
    </w:p>
    <w:bookmarkEnd w:id="56"/>
    <w:bookmarkStart w:name="z60" w:id="57"/>
    <w:p>
      <w:pPr>
        <w:spacing w:after="0"/>
        <w:ind w:left="0"/>
        <w:jc w:val="both"/>
      </w:pPr>
      <w:r>
        <w:rPr>
          <w:rFonts w:ascii="Times New Roman"/>
          <w:b w:val="false"/>
          <w:i w:val="false"/>
          <w:color w:val="000000"/>
          <w:sz w:val="28"/>
        </w:rPr>
        <w:t>
      50. The international activity of the Academy shall be carried out within cooperation programs with leading foreign universities and organizations, implementation of international educational programs and projects, implementation of joint research activities, organization of scientific and practical seminars and conferences, exchange of scientific and teaching personnel and development of student mobility.</w:t>
      </w:r>
    </w:p>
    <w:bookmarkEnd w:id="57"/>
    <w:bookmarkStart w:name="z61" w:id="58"/>
    <w:p>
      <w:pPr>
        <w:spacing w:after="0"/>
        <w:ind w:left="0"/>
        <w:jc w:val="left"/>
      </w:pPr>
      <w:r>
        <w:rPr>
          <w:rFonts w:ascii="Times New Roman"/>
          <w:b/>
          <w:i w:val="false"/>
          <w:color w:val="000000"/>
        </w:rPr>
        <w:t xml:space="preserve"> 5. Information and logistical support of the Academy</w:t>
      </w:r>
    </w:p>
    <w:bookmarkEnd w:id="58"/>
    <w:bookmarkStart w:name="z62" w:id="59"/>
    <w:p>
      <w:pPr>
        <w:spacing w:after="0"/>
        <w:ind w:left="0"/>
        <w:jc w:val="both"/>
      </w:pPr>
      <w:r>
        <w:rPr>
          <w:rFonts w:ascii="Times New Roman"/>
          <w:b w:val="false"/>
          <w:i w:val="false"/>
          <w:color w:val="000000"/>
          <w:sz w:val="28"/>
        </w:rPr>
        <w:t>
      51. The provision of the Academy with information resources shall be a prerequisite for implementation of educational and research activities.</w:t>
      </w:r>
    </w:p>
    <w:bookmarkEnd w:id="59"/>
    <w:bookmarkStart w:name="z63" w:id="60"/>
    <w:p>
      <w:pPr>
        <w:spacing w:after="0"/>
        <w:ind w:left="0"/>
        <w:jc w:val="both"/>
      </w:pPr>
      <w:r>
        <w:rPr>
          <w:rFonts w:ascii="Times New Roman"/>
          <w:b w:val="false"/>
          <w:i w:val="false"/>
          <w:color w:val="000000"/>
          <w:sz w:val="28"/>
        </w:rPr>
        <w:t>
      52. The information resources of the Academy shall be formalized ideas and knowledge, various data, methods and means of their accumulation, storage and exchange between sources and consumers of information.</w:t>
      </w:r>
    </w:p>
    <w:bookmarkEnd w:id="60"/>
    <w:bookmarkStart w:name="z64" w:id="61"/>
    <w:p>
      <w:pPr>
        <w:spacing w:after="0"/>
        <w:ind w:left="0"/>
        <w:jc w:val="both"/>
      </w:pPr>
      <w:r>
        <w:rPr>
          <w:rFonts w:ascii="Times New Roman"/>
          <w:b w:val="false"/>
          <w:i w:val="false"/>
          <w:color w:val="000000"/>
          <w:sz w:val="28"/>
        </w:rPr>
        <w:t>
      53. Information resources include full-text, factual and bibliographic databases of educational purposes (administrative, educational, scientific, educational and methodological) on any media, reference and search systems, including traditional and electronic library catalogs and file cabinets, electronic local access resources, software tools for creation, storage and use of educational information, information distribution channels, communication tools used for educational purposes.</w:t>
      </w:r>
    </w:p>
    <w:bookmarkEnd w:id="61"/>
    <w:bookmarkStart w:name="z65" w:id="62"/>
    <w:p>
      <w:pPr>
        <w:spacing w:after="0"/>
        <w:ind w:left="0"/>
        <w:jc w:val="both"/>
      </w:pPr>
      <w:r>
        <w:rPr>
          <w:rFonts w:ascii="Times New Roman"/>
          <w:b w:val="false"/>
          <w:i w:val="false"/>
          <w:color w:val="000000"/>
          <w:sz w:val="28"/>
        </w:rPr>
        <w:t>
      54. The library fund shall be an integral part of information resources and includes educational, educational, methodological and scientific literature, as well as regulatory legal acts.</w:t>
      </w:r>
    </w:p>
    <w:bookmarkEnd w:id="62"/>
    <w:bookmarkStart w:name="z66" w:id="63"/>
    <w:p>
      <w:pPr>
        <w:spacing w:after="0"/>
        <w:ind w:left="0"/>
        <w:jc w:val="both"/>
      </w:pPr>
      <w:r>
        <w:rPr>
          <w:rFonts w:ascii="Times New Roman"/>
          <w:b w:val="false"/>
          <w:i w:val="false"/>
          <w:color w:val="000000"/>
          <w:sz w:val="28"/>
        </w:rPr>
        <w:t>
      55. The implementation of educational programs of postgraduate and extended education shall be ensured by free access for students to library collections, computer technologies, educational and methodological and scientific literature, educational, scientific, information databases, including international sources located in electronic libraries.</w:t>
      </w:r>
    </w:p>
    <w:bookmarkEnd w:id="63"/>
    <w:bookmarkStart w:name="z67" w:id="64"/>
    <w:p>
      <w:pPr>
        <w:spacing w:after="0"/>
        <w:ind w:left="0"/>
        <w:jc w:val="both"/>
      </w:pPr>
      <w:r>
        <w:rPr>
          <w:rFonts w:ascii="Times New Roman"/>
          <w:b w:val="false"/>
          <w:i w:val="false"/>
          <w:color w:val="000000"/>
          <w:sz w:val="28"/>
        </w:rPr>
        <w:t>
      56. The scientific fund of the Academy’s library includes a list of books of monographic, scientific and scientific-practical nature, covering the field of research, corresponding to the directions and specialties of specialist training.</w:t>
      </w:r>
    </w:p>
    <w:bookmarkEnd w:id="64"/>
    <w:p>
      <w:pPr>
        <w:spacing w:after="0"/>
        <w:ind w:left="0"/>
        <w:jc w:val="both"/>
      </w:pPr>
      <w:r>
        <w:rPr>
          <w:rFonts w:ascii="Times New Roman"/>
          <w:b w:val="false"/>
          <w:i w:val="false"/>
          <w:color w:val="000000"/>
          <w:sz w:val="28"/>
        </w:rPr>
        <w:t>
      The scientific fund also includes encyclopedias, dictionaries, reference books, comments, literary works studied under the program, normative legal acts, periodicals, including bulletins of educational organizations, collections of scientific papers, materials of international conferences corresponding to the profile of education.</w:t>
      </w:r>
    </w:p>
    <w:bookmarkStart w:name="z68" w:id="65"/>
    <w:p>
      <w:pPr>
        <w:spacing w:after="0"/>
        <w:ind w:left="0"/>
        <w:jc w:val="both"/>
      </w:pPr>
      <w:r>
        <w:rPr>
          <w:rFonts w:ascii="Times New Roman"/>
          <w:b w:val="false"/>
          <w:i w:val="false"/>
          <w:color w:val="000000"/>
          <w:sz w:val="28"/>
        </w:rPr>
        <w:t>
      57. The publication of educational literature by the Academy includes: textbooks, teaching aids, study guides and other educational publications on the study, development of academic disciplines, and implementation of certain types of educational work.</w:t>
      </w:r>
    </w:p>
    <w:bookmarkEnd w:id="65"/>
    <w:bookmarkStart w:name="z69" w:id="66"/>
    <w:p>
      <w:pPr>
        <w:spacing w:after="0"/>
        <w:ind w:left="0"/>
        <w:jc w:val="both"/>
      </w:pPr>
      <w:r>
        <w:rPr>
          <w:rFonts w:ascii="Times New Roman"/>
          <w:b w:val="false"/>
          <w:i w:val="false"/>
          <w:color w:val="000000"/>
          <w:sz w:val="28"/>
        </w:rPr>
        <w:t>
      58. The processes of collection, acquisition, storage, decommissioning of educational and scientific information assets of the Academy shall be carried out independently by the Academy.</w:t>
      </w:r>
    </w:p>
    <w:bookmarkEnd w:id="66"/>
    <w:bookmarkStart w:name="z70" w:id="67"/>
    <w:p>
      <w:pPr>
        <w:spacing w:after="0"/>
        <w:ind w:left="0"/>
        <w:jc w:val="both"/>
      </w:pPr>
      <w:r>
        <w:rPr>
          <w:rFonts w:ascii="Times New Roman"/>
          <w:b w:val="false"/>
          <w:i w:val="false"/>
          <w:color w:val="000000"/>
          <w:sz w:val="28"/>
        </w:rPr>
        <w:t>
      59. The Academy has a classroom, study rooms, a gym, training grounds and other facilities necessary for conducting training sessions and other educational events.</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