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23fb" w14:textId="38b2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providing statistical and other reporting information on the pledge of movable property by the State corporation "Government for citizens"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January 28, 2016 № 47. Registered in the Ministry of Justice of the Republic of Kazakhstan on February 10, 2016 № 13043.</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subparagraph 4) of Article 3-1 of the Law of the Republic of Kazakhstan dated June 30, 1998 "On the registration of pledge of movable property", as well as subparagraph 2) of paragraph 3 of Article 16 of the Law of the Republic of Kazakhstan "On State Statistics" dated March 19, 2010, I ORDER:</w:t>
      </w:r>
    </w:p>
    <w:bookmarkEnd w:id="1"/>
    <w:bookmarkStart w:name="z3" w:id="2"/>
    <w:p>
      <w:pPr>
        <w:spacing w:after="0"/>
        <w:ind w:left="0"/>
        <w:jc w:val="both"/>
      </w:pPr>
      <w:r>
        <w:rPr>
          <w:rFonts w:ascii="Times New Roman"/>
          <w:b w:val="false"/>
          <w:i w:val="false"/>
          <w:color w:val="000000"/>
          <w:sz w:val="28"/>
        </w:rPr>
        <w:t>
      1. To approve the Rules for providing statistical and other reporting information on the pledge of movable property by the State corporation "Government for citizens".</w:t>
      </w:r>
    </w:p>
    <w:bookmarkEnd w:id="2"/>
    <w:bookmarkStart w:name="z4" w:id="3"/>
    <w:p>
      <w:pPr>
        <w:spacing w:after="0"/>
        <w:ind w:left="0"/>
        <w:jc w:val="both"/>
      </w:pPr>
      <w:r>
        <w:rPr>
          <w:rFonts w:ascii="Times New Roman"/>
          <w:b w:val="false"/>
          <w:i w:val="false"/>
          <w:color w:val="000000"/>
          <w:sz w:val="28"/>
        </w:rPr>
        <w:t>
      2. The Department of registration service and organization of legal services in the manner established, established by the legislation shall ensure:</w:t>
      </w:r>
    </w:p>
    <w:bookmarkEnd w:id="3"/>
    <w:bookmarkStart w:name="z5" w:id="4"/>
    <w:p>
      <w:pPr>
        <w:spacing w:after="0"/>
        <w:ind w:left="0"/>
        <w:jc w:val="both"/>
      </w:pPr>
      <w:r>
        <w:rPr>
          <w:rFonts w:ascii="Times New Roman"/>
          <w:b w:val="false"/>
          <w:i w:val="false"/>
          <w:color w:val="000000"/>
          <w:sz w:val="28"/>
        </w:rPr>
        <w:t>
      1) within ten calendar days after the state registration of this order in the Ministry of Justice of the Republic of Kazakhstan, sending it for official publication in periodicals and legal information system "Adilet";</w:t>
      </w:r>
    </w:p>
    <w:bookmarkEnd w:id="4"/>
    <w:bookmarkStart w:name="z6" w:id="5"/>
    <w:p>
      <w:pPr>
        <w:spacing w:after="0"/>
        <w:ind w:left="0"/>
        <w:jc w:val="both"/>
      </w:pPr>
      <w:r>
        <w:rPr>
          <w:rFonts w:ascii="Times New Roman"/>
          <w:b w:val="false"/>
          <w:i w:val="false"/>
          <w:color w:val="000000"/>
          <w:sz w:val="28"/>
        </w:rPr>
        <w:t xml:space="preserve">
      2) within ten calendar days after registration of this order in the Ministry of Justice of the Republic of Kazakhstan, sending it to the Republican state enterprise on the right of economic management "Republican center for legal information of the Ministry of Justice of the Republic of Kazakhstan" for placement in the Standard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Justice of the Republic of Kazakhstan.</w:t>
      </w:r>
    </w:p>
    <w:bookmarkEnd w:id="6"/>
    <w:bookmarkStart w:name="z8" w:id="7"/>
    <w:p>
      <w:pPr>
        <w:spacing w:after="0"/>
        <w:ind w:left="0"/>
        <w:jc w:val="both"/>
      </w:pPr>
      <w:r>
        <w:rPr>
          <w:rFonts w:ascii="Times New Roman"/>
          <w:b w:val="false"/>
          <w:i w:val="false"/>
          <w:color w:val="000000"/>
          <w:sz w:val="28"/>
        </w:rPr>
        <w:t>
      3. Control over the execution of this order shall be assigned to the supervising Deputy Minister of Justice of the Republic of Kazakhstan.</w:t>
      </w:r>
    </w:p>
    <w:bookmarkEnd w:id="7"/>
    <w:bookmarkStart w:name="z9" w:id="8"/>
    <w:p>
      <w:pPr>
        <w:spacing w:after="0"/>
        <w:ind w:left="0"/>
        <w:jc w:val="both"/>
      </w:pPr>
      <w:r>
        <w:rPr>
          <w:rFonts w:ascii="Times New Roman"/>
          <w:b w:val="false"/>
          <w:i w:val="false"/>
          <w:color w:val="000000"/>
          <w:sz w:val="28"/>
        </w:rPr>
        <w:t>
      4. This order shall be subject to official publication and is effective from March 1, 2016.</w:t>
      </w:r>
    </w:p>
    <w:bookmarkEnd w:id="8"/>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Imashev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for investments and</w:t>
      </w:r>
    </w:p>
    <w:p>
      <w:pPr>
        <w:spacing w:after="0"/>
        <w:ind w:left="0"/>
        <w:jc w:val="both"/>
      </w:pPr>
      <w:r>
        <w:rPr>
          <w:rFonts w:ascii="Times New Roman"/>
          <w:b w:val="false"/>
          <w:i w:val="false"/>
          <w:color w:val="000000"/>
          <w:sz w:val="28"/>
        </w:rPr>
        <w:t>
      development of the Republic of Kazakhstan</w:t>
      </w:r>
    </w:p>
    <w:p>
      <w:pPr>
        <w:spacing w:after="0"/>
        <w:ind w:left="0"/>
        <w:jc w:val="both"/>
      </w:pPr>
      <w:r>
        <w:rPr>
          <w:rFonts w:ascii="Times New Roman"/>
          <w:b w:val="false"/>
          <w:i w:val="false"/>
          <w:color w:val="000000"/>
          <w:sz w:val="28"/>
        </w:rPr>
        <w:t>
      ___________________A. Issekeshev</w:t>
      </w:r>
    </w:p>
    <w:p>
      <w:pPr>
        <w:spacing w:after="0"/>
        <w:ind w:left="0"/>
        <w:jc w:val="both"/>
      </w:pPr>
      <w:r>
        <w:rPr>
          <w:rFonts w:ascii="Times New Roman"/>
          <w:b w:val="false"/>
          <w:i w:val="false"/>
          <w:color w:val="000000"/>
          <w:sz w:val="28"/>
        </w:rPr>
        <w:t>
      January 29,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Acting Chairman </w:t>
      </w:r>
    </w:p>
    <w:p>
      <w:pPr>
        <w:spacing w:after="0"/>
        <w:ind w:left="0"/>
        <w:jc w:val="both"/>
      </w:pPr>
      <w:r>
        <w:rPr>
          <w:rFonts w:ascii="Times New Roman"/>
          <w:b w:val="false"/>
          <w:i w:val="false"/>
          <w:color w:val="000000"/>
          <w:sz w:val="28"/>
        </w:rPr>
        <w:t>
      of the Committee for statistics</w:t>
      </w:r>
    </w:p>
    <w:p>
      <w:pPr>
        <w:spacing w:after="0"/>
        <w:ind w:left="0"/>
        <w:jc w:val="both"/>
      </w:pPr>
      <w:r>
        <w:rPr>
          <w:rFonts w:ascii="Times New Roman"/>
          <w:b w:val="false"/>
          <w:i w:val="false"/>
          <w:color w:val="000000"/>
          <w:sz w:val="28"/>
        </w:rPr>
        <w:t>
      of the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___________________B. Imanaliev</w:t>
      </w:r>
    </w:p>
    <w:p>
      <w:pPr>
        <w:spacing w:after="0"/>
        <w:ind w:left="0"/>
        <w:jc w:val="both"/>
      </w:pPr>
      <w:r>
        <w:rPr>
          <w:rFonts w:ascii="Times New Roman"/>
          <w:b w:val="false"/>
          <w:i w:val="false"/>
          <w:color w:val="000000"/>
          <w:sz w:val="28"/>
        </w:rPr>
        <w:t>
      January 29,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January 28, 2016 № 47</w:t>
            </w:r>
          </w:p>
        </w:tc>
      </w:tr>
    </w:tbl>
    <w:bookmarkStart w:name="z11" w:id="9"/>
    <w:p>
      <w:pPr>
        <w:spacing w:after="0"/>
        <w:ind w:left="0"/>
        <w:jc w:val="left"/>
      </w:pPr>
      <w:r>
        <w:rPr>
          <w:rFonts w:ascii="Times New Roman"/>
          <w:b/>
          <w:i w:val="false"/>
          <w:color w:val="000000"/>
        </w:rPr>
        <w:t xml:space="preserve"> Rules for providing statistical and other reporting information on the</w:t>
      </w:r>
      <w:r>
        <w:br/>
      </w:r>
      <w:r>
        <w:rPr>
          <w:rFonts w:ascii="Times New Roman"/>
          <w:b/>
          <w:i w:val="false"/>
          <w:color w:val="000000"/>
        </w:rPr>
        <w:t xml:space="preserve"> pledge of movable property by the State corporation "Government for citizens" </w:t>
      </w:r>
    </w:p>
    <w:bookmarkEnd w:id="9"/>
    <w:p>
      <w:pPr>
        <w:spacing w:after="0"/>
        <w:ind w:left="0"/>
        <w:jc w:val="both"/>
      </w:pPr>
      <w:r>
        <w:rPr>
          <w:rFonts w:ascii="Times New Roman"/>
          <w:b w:val="false"/>
          <w:i w:val="false"/>
          <w:color w:val="ff0000"/>
          <w:sz w:val="28"/>
        </w:rPr>
        <w:t>
      Footnote. The Rules are in the wording of the order of the Minister of Justice of the Republic of Kazakhstan dated 05.07.2019 № 381 (shall be enforced upon expiration of ten calendar days after its first official publication).</w:t>
      </w:r>
    </w:p>
    <w:bookmarkStart w:name="z12" w:id="10"/>
    <w:p>
      <w:pPr>
        <w:spacing w:after="0"/>
        <w:ind w:left="0"/>
        <w:jc w:val="left"/>
      </w:pPr>
      <w:r>
        <w:rPr>
          <w:rFonts w:ascii="Times New Roman"/>
          <w:b/>
          <w:i w:val="false"/>
          <w:color w:val="000000"/>
        </w:rPr>
        <w:t xml:space="preserve"> Chapter 1. General provisions </w:t>
      </w:r>
    </w:p>
    <w:bookmarkEnd w:id="10"/>
    <w:bookmarkStart w:name="z13" w:id="11"/>
    <w:p>
      <w:pPr>
        <w:spacing w:after="0"/>
        <w:ind w:left="0"/>
        <w:jc w:val="both"/>
      </w:pPr>
      <w:r>
        <w:rPr>
          <w:rFonts w:ascii="Times New Roman"/>
          <w:b w:val="false"/>
          <w:i w:val="false"/>
          <w:color w:val="000000"/>
          <w:sz w:val="28"/>
        </w:rPr>
        <w:t>
      1. These Rules for providing statistical and other reporting information on the pledge of movable property by the State corporation "Government for citizens" (hereinafter – the State corporation) and (hereinafter – the Rules) are developed in accordance with the Law of the Republic of Kazakhstan dated June 30, 1998 "On the registration of pledge of movable property" and shall determine the procedure for providing statistical and other reporting information on the pledge of movable property, not subject to obligatory state registration" by the State corporation.</w:t>
      </w:r>
    </w:p>
    <w:bookmarkEnd w:id="11"/>
    <w:bookmarkStart w:name="z14" w:id="12"/>
    <w:p>
      <w:pPr>
        <w:spacing w:after="0"/>
        <w:ind w:left="0"/>
        <w:jc w:val="both"/>
      </w:pPr>
      <w:r>
        <w:rPr>
          <w:rFonts w:ascii="Times New Roman"/>
          <w:b w:val="false"/>
          <w:i w:val="false"/>
          <w:color w:val="000000"/>
          <w:sz w:val="28"/>
        </w:rPr>
        <w:t xml:space="preserve">
      2. The following basic concepts are used in these Rules: </w:t>
      </w:r>
    </w:p>
    <w:bookmarkEnd w:id="12"/>
    <w:bookmarkStart w:name="z15" w:id="13"/>
    <w:p>
      <w:pPr>
        <w:spacing w:after="0"/>
        <w:ind w:left="0"/>
        <w:jc w:val="both"/>
      </w:pPr>
      <w:r>
        <w:rPr>
          <w:rFonts w:ascii="Times New Roman"/>
          <w:b w:val="false"/>
          <w:i w:val="false"/>
          <w:color w:val="000000"/>
          <w:sz w:val="28"/>
        </w:rPr>
        <w:t xml:space="preserve">
      1) reporting period – a calendar (temporary) term, for which the performance indicators of the State corporation for the registration of pledge of movable property are reflected in the reporting form; </w:t>
      </w:r>
    </w:p>
    <w:bookmarkEnd w:id="13"/>
    <w:bookmarkStart w:name="z16" w:id="14"/>
    <w:p>
      <w:pPr>
        <w:spacing w:after="0"/>
        <w:ind w:left="0"/>
        <w:jc w:val="both"/>
      </w:pPr>
      <w:r>
        <w:rPr>
          <w:rFonts w:ascii="Times New Roman"/>
          <w:b w:val="false"/>
          <w:i w:val="false"/>
          <w:color w:val="000000"/>
          <w:sz w:val="28"/>
        </w:rPr>
        <w:t xml:space="preserve">
      2) SDBRPMP – State database of the register of pledge of movable property; </w:t>
      </w:r>
    </w:p>
    <w:bookmarkEnd w:id="14"/>
    <w:bookmarkStart w:name="z17" w:id="15"/>
    <w:p>
      <w:pPr>
        <w:spacing w:after="0"/>
        <w:ind w:left="0"/>
        <w:jc w:val="both"/>
      </w:pPr>
      <w:r>
        <w:rPr>
          <w:rFonts w:ascii="Times New Roman"/>
          <w:b w:val="false"/>
          <w:i w:val="false"/>
          <w:color w:val="000000"/>
          <w:sz w:val="28"/>
        </w:rPr>
        <w:t>
      3) reporting - information on main performance indicators of branches for registration of pledge of movable property, submitted to the State corporation;</w:t>
      </w:r>
    </w:p>
    <w:bookmarkEnd w:id="15"/>
    <w:bookmarkStart w:name="z18" w:id="16"/>
    <w:p>
      <w:pPr>
        <w:spacing w:after="0"/>
        <w:ind w:left="0"/>
        <w:jc w:val="both"/>
      </w:pPr>
      <w:r>
        <w:rPr>
          <w:rFonts w:ascii="Times New Roman"/>
          <w:b w:val="false"/>
          <w:i w:val="false"/>
          <w:color w:val="000000"/>
          <w:sz w:val="28"/>
        </w:rPr>
        <w:t>
      4) a reporting form – a form of reporting on the performance of branches of the State corporation, related to the pledge of movable property that is not subject to obligatory state registration.</w:t>
      </w:r>
    </w:p>
    <w:bookmarkEnd w:id="16"/>
    <w:bookmarkStart w:name="z19" w:id="17"/>
    <w:p>
      <w:pPr>
        <w:spacing w:after="0"/>
        <w:ind w:left="0"/>
        <w:jc w:val="left"/>
      </w:pPr>
      <w:r>
        <w:rPr>
          <w:rFonts w:ascii="Times New Roman"/>
          <w:b/>
          <w:i w:val="false"/>
          <w:color w:val="000000"/>
        </w:rPr>
        <w:t xml:space="preserve"> Chapter 2. Procedure for providing statistical and other reporting </w:t>
      </w:r>
    </w:p>
    <w:bookmarkEnd w:id="17"/>
    <w:bookmarkStart w:name="z20" w:id="18"/>
    <w:p>
      <w:pPr>
        <w:spacing w:after="0"/>
        <w:ind w:left="0"/>
        <w:jc w:val="both"/>
      </w:pPr>
      <w:r>
        <w:rPr>
          <w:rFonts w:ascii="Times New Roman"/>
          <w:b w:val="false"/>
          <w:i w:val="false"/>
          <w:color w:val="000000"/>
          <w:sz w:val="28"/>
        </w:rPr>
        <w:t>
      3. Reporting indicators are formed by sampling the relevant quantitative data from primary registration sources (the Register of documents received for registration, the Register of pledge of movable property, the Journal of incoming and outgoing correspondence, nomenclature cases, the web portal of "electronic government": www.egov.kz, SDBRPMP), with their subsequent reflection in the columns of the reporting form.</w:t>
      </w:r>
    </w:p>
    <w:bookmarkEnd w:id="18"/>
    <w:bookmarkStart w:name="z21" w:id="19"/>
    <w:p>
      <w:pPr>
        <w:spacing w:after="0"/>
        <w:ind w:left="0"/>
        <w:jc w:val="both"/>
      </w:pPr>
      <w:r>
        <w:rPr>
          <w:rFonts w:ascii="Times New Roman"/>
          <w:b w:val="false"/>
          <w:i w:val="false"/>
          <w:color w:val="000000"/>
          <w:sz w:val="28"/>
        </w:rPr>
        <w:t xml:space="preserve">
      4. Data are indicated in the context of the reporting quarter of the current year. </w:t>
      </w:r>
    </w:p>
    <w:bookmarkEnd w:id="19"/>
    <w:bookmarkStart w:name="z22" w:id="20"/>
    <w:p>
      <w:pPr>
        <w:spacing w:after="0"/>
        <w:ind w:left="0"/>
        <w:jc w:val="both"/>
      </w:pPr>
      <w:r>
        <w:rPr>
          <w:rFonts w:ascii="Times New Roman"/>
          <w:b w:val="false"/>
          <w:i w:val="false"/>
          <w:color w:val="000000"/>
          <w:sz w:val="28"/>
        </w:rPr>
        <w:t xml:space="preserve">
      5. Reporting is submitted by filling in the form "Information on main performance indicators of the State corporation for registration of the pledge of movable property that is not subject to obligatory state registration" according to Appendix 1 and the form "Information on the number of court decisions on illegal refusal to register the pledge of movable property" according to Appendix 2 to these Rules. </w:t>
      </w:r>
    </w:p>
    <w:bookmarkEnd w:id="20"/>
    <w:bookmarkStart w:name="z23" w:id="21"/>
    <w:p>
      <w:pPr>
        <w:spacing w:after="0"/>
        <w:ind w:left="0"/>
        <w:jc w:val="both"/>
      </w:pPr>
      <w:r>
        <w:rPr>
          <w:rFonts w:ascii="Times New Roman"/>
          <w:b w:val="false"/>
          <w:i w:val="false"/>
          <w:color w:val="000000"/>
          <w:sz w:val="28"/>
        </w:rPr>
        <w:t>
      6. Reporting is provided by branches of the State corporation of regions, cities of republican significance and the capital city to the State corporation.</w:t>
      </w:r>
    </w:p>
    <w:bookmarkEnd w:id="21"/>
    <w:bookmarkStart w:name="z24" w:id="22"/>
    <w:p>
      <w:pPr>
        <w:spacing w:after="0"/>
        <w:ind w:left="0"/>
        <w:jc w:val="both"/>
      </w:pPr>
      <w:r>
        <w:rPr>
          <w:rFonts w:ascii="Times New Roman"/>
          <w:b w:val="false"/>
          <w:i w:val="false"/>
          <w:color w:val="000000"/>
          <w:sz w:val="28"/>
        </w:rPr>
        <w:t>
      7. Reporting is provided quarterly, with a cumulative total by the 10th day of the month following the reporting period.</w:t>
      </w:r>
    </w:p>
    <w:bookmarkEnd w:id="22"/>
    <w:bookmarkStart w:name="z25" w:id="23"/>
    <w:p>
      <w:pPr>
        <w:spacing w:after="0"/>
        <w:ind w:left="0"/>
        <w:jc w:val="both"/>
      </w:pPr>
      <w:r>
        <w:rPr>
          <w:rFonts w:ascii="Times New Roman"/>
          <w:b w:val="false"/>
          <w:i w:val="false"/>
          <w:color w:val="000000"/>
          <w:sz w:val="28"/>
        </w:rPr>
        <w:t>
      8. Reporting is signed by the executor and the head of the branch of the State corporation.</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providing</w:t>
            </w:r>
            <w:r>
              <w:br/>
            </w:r>
            <w:r>
              <w:rPr>
                <w:rFonts w:ascii="Times New Roman"/>
                <w:b w:val="false"/>
                <w:i w:val="false"/>
                <w:color w:val="000000"/>
                <w:sz w:val="20"/>
              </w:rPr>
              <w:t>statistical and other reporting</w:t>
            </w:r>
            <w:r>
              <w:br/>
            </w:r>
            <w:r>
              <w:rPr>
                <w:rFonts w:ascii="Times New Roman"/>
                <w:b w:val="false"/>
                <w:i w:val="false"/>
                <w:color w:val="000000"/>
                <w:sz w:val="20"/>
              </w:rPr>
              <w:t xml:space="preserve">information on the pledge of </w:t>
            </w:r>
            <w:r>
              <w:br/>
            </w:r>
            <w:r>
              <w:rPr>
                <w:rFonts w:ascii="Times New Roman"/>
                <w:b w:val="false"/>
                <w:i w:val="false"/>
                <w:color w:val="000000"/>
                <w:sz w:val="20"/>
              </w:rPr>
              <w:t>movable property by the</w:t>
            </w:r>
            <w:r>
              <w:br/>
            </w:r>
            <w:r>
              <w:rPr>
                <w:rFonts w:ascii="Times New Roman"/>
                <w:b w:val="false"/>
                <w:i w:val="false"/>
                <w:color w:val="000000"/>
                <w:sz w:val="20"/>
              </w:rPr>
              <w:t xml:space="preserve"> State corporation</w:t>
            </w:r>
            <w:r>
              <w:br/>
            </w:r>
            <w:r>
              <w:rPr>
                <w:rFonts w:ascii="Times New Roman"/>
                <w:b w:val="false"/>
                <w:i w:val="false"/>
                <w:color w:val="000000"/>
                <w:sz w:val="20"/>
              </w:rPr>
              <w:t>"Government for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28" w:id="24"/>
    <w:p>
      <w:pPr>
        <w:spacing w:after="0"/>
        <w:ind w:left="0"/>
        <w:jc w:val="left"/>
      </w:pPr>
      <w:r>
        <w:rPr>
          <w:rFonts w:ascii="Times New Roman"/>
          <w:b/>
          <w:i w:val="false"/>
          <w:color w:val="000000"/>
        </w:rPr>
        <w:t xml:space="preserve"> Information on main performance indicators of the State corporation for registration</w:t>
      </w:r>
      <w:r>
        <w:br/>
      </w:r>
      <w:r>
        <w:rPr>
          <w:rFonts w:ascii="Times New Roman"/>
          <w:b/>
          <w:i w:val="false"/>
          <w:color w:val="000000"/>
        </w:rPr>
        <w:t xml:space="preserve"> of the pledge of movable property that is not subject to obligatory state registration</w:t>
      </w:r>
    </w:p>
    <w:bookmarkEnd w:id="24"/>
    <w:bookmarkStart w:name="z29" w:id="25"/>
    <w:p>
      <w:pPr>
        <w:spacing w:after="0"/>
        <w:ind w:left="0"/>
        <w:jc w:val="both"/>
      </w:pPr>
      <w:r>
        <w:rPr>
          <w:rFonts w:ascii="Times New Roman"/>
          <w:b w:val="false"/>
          <w:i w:val="false"/>
          <w:color w:val="000000"/>
          <w:sz w:val="28"/>
        </w:rPr>
        <w:t>
      Reporting period _ quarter 20 ____</w:t>
      </w:r>
    </w:p>
    <w:bookmarkEnd w:id="25"/>
    <w:bookmarkStart w:name="z30" w:id="26"/>
    <w:p>
      <w:pPr>
        <w:spacing w:after="0"/>
        <w:ind w:left="0"/>
        <w:jc w:val="both"/>
      </w:pPr>
      <w:r>
        <w:rPr>
          <w:rFonts w:ascii="Times New Roman"/>
          <w:b w:val="false"/>
          <w:i w:val="false"/>
          <w:color w:val="000000"/>
          <w:sz w:val="28"/>
        </w:rPr>
        <w:t>
      Index: 1. RPMP</w:t>
      </w:r>
    </w:p>
    <w:bookmarkEnd w:id="26"/>
    <w:bookmarkStart w:name="z31" w:id="27"/>
    <w:p>
      <w:pPr>
        <w:spacing w:after="0"/>
        <w:ind w:left="0"/>
        <w:jc w:val="both"/>
      </w:pPr>
      <w:r>
        <w:rPr>
          <w:rFonts w:ascii="Times New Roman"/>
          <w:b w:val="false"/>
          <w:i w:val="false"/>
          <w:color w:val="000000"/>
          <w:sz w:val="28"/>
        </w:rPr>
        <w:t>
      Frequency: quarterly</w:t>
      </w:r>
    </w:p>
    <w:bookmarkEnd w:id="27"/>
    <w:bookmarkStart w:name="z32" w:id="28"/>
    <w:p>
      <w:pPr>
        <w:spacing w:after="0"/>
        <w:ind w:left="0"/>
        <w:jc w:val="both"/>
      </w:pPr>
      <w:r>
        <w:rPr>
          <w:rFonts w:ascii="Times New Roman"/>
          <w:b w:val="false"/>
          <w:i w:val="false"/>
          <w:color w:val="000000"/>
          <w:sz w:val="28"/>
        </w:rPr>
        <w:t>
      Circle of persons providing: branches of the State corporation of regions, cities of republican significance and the capital city</w:t>
      </w:r>
    </w:p>
    <w:bookmarkEnd w:id="28"/>
    <w:bookmarkStart w:name="z33" w:id="29"/>
    <w:p>
      <w:pPr>
        <w:spacing w:after="0"/>
        <w:ind w:left="0"/>
        <w:jc w:val="both"/>
      </w:pPr>
      <w:r>
        <w:rPr>
          <w:rFonts w:ascii="Times New Roman"/>
          <w:b w:val="false"/>
          <w:i w:val="false"/>
          <w:color w:val="000000"/>
          <w:sz w:val="28"/>
        </w:rPr>
        <w:t>
      Where it is provided: State corporation</w:t>
      </w:r>
    </w:p>
    <w:bookmarkEnd w:id="29"/>
    <w:bookmarkStart w:name="z34" w:id="30"/>
    <w:p>
      <w:pPr>
        <w:spacing w:after="0"/>
        <w:ind w:left="0"/>
        <w:jc w:val="both"/>
      </w:pPr>
      <w:r>
        <w:rPr>
          <w:rFonts w:ascii="Times New Roman"/>
          <w:b w:val="false"/>
          <w:i w:val="false"/>
          <w:color w:val="000000"/>
          <w:sz w:val="28"/>
        </w:rPr>
        <w:t>
      Deadline for submission: quarterly by the 10th day following the reporting period.</w:t>
      </w:r>
    </w:p>
    <w:bookmarkEnd w:id="30"/>
    <w:bookmarkStart w:name="z35" w:id="31"/>
    <w:p>
      <w:pPr>
        <w:spacing w:after="0"/>
        <w:ind w:left="0"/>
        <w:jc w:val="both"/>
      </w:pPr>
      <w:r>
        <w:rPr>
          <w:rFonts w:ascii="Times New Roman"/>
          <w:b w:val="false"/>
          <w:i w:val="false"/>
          <w:color w:val="000000"/>
          <w:sz w:val="28"/>
        </w:rPr>
        <w:t>
      Continuation</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76"/>
        <w:gridCol w:w="1175"/>
        <w:gridCol w:w="3880"/>
        <w:gridCol w:w="1309"/>
        <w:gridCol w:w="908"/>
        <w:gridCol w:w="993"/>
        <w:gridCol w:w="1318"/>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0" w:type="auto"/>
            <w:vMerge/>
            <w:tcBorders>
              <w:top w:val="nil"/>
              <w:left w:val="single" w:color="cfcfcf" w:sz="5"/>
              <w:bottom w:val="single" w:color="cfcfcf" w:sz="5"/>
              <w:right w:val="single" w:color="cfcfcf" w:sz="5"/>
            </w:tcBorders>
          </w:tcP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branch of the State corporation</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an application for registration of the pledge of movable property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applications received for registration of the pledge of movable property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fee</w:t>
            </w:r>
          </w:p>
        </w:tc>
      </w:tr>
      <w:tr>
        <w:trPr>
          <w:trHeight w:val="30" w:hRule="atLeast"/>
        </w:trPr>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portal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Similar period</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2"/>
    <w:p>
      <w:pPr>
        <w:spacing w:after="0"/>
        <w:ind w:left="0"/>
        <w:jc w:val="both"/>
      </w:pPr>
      <w:r>
        <w:rPr>
          <w:rFonts w:ascii="Times New Roman"/>
          <w:b w:val="false"/>
          <w:i w:val="false"/>
          <w:color w:val="000000"/>
          <w:sz w:val="28"/>
        </w:rPr>
        <w:t>
      continuation of the table</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2708"/>
        <w:gridCol w:w="3343"/>
        <w:gridCol w:w="39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contracts of the pledge of movable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applications for which the registration of the pledge of movable property was refused</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3"/>
    <w:p>
      <w:pPr>
        <w:spacing w:after="0"/>
        <w:ind w:left="0"/>
        <w:jc w:val="both"/>
      </w:pPr>
      <w:r>
        <w:rPr>
          <w:rFonts w:ascii="Times New Roman"/>
          <w:b w:val="false"/>
          <w:i w:val="false"/>
          <w:color w:val="000000"/>
          <w:sz w:val="28"/>
        </w:rPr>
        <w:t>
      continuation of the table</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2768"/>
        <w:gridCol w:w="1463"/>
        <w:gridCol w:w="2304"/>
        <w:gridCol w:w="1737"/>
        <w:gridCol w:w="23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registration of the pledge of movable property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applications received for termination of registration of the pledge of movable property</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 days</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day (electronic)</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fee</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fee</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875"/>
        <w:gridCol w:w="2119"/>
        <w:gridCol w:w="1959"/>
        <w:gridCol w:w="2477"/>
        <w:gridCol w:w="22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terminated contracts of the pledge of movable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issued certificates of registration of the pledge of movable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issued duplicates of certificates of registration of the pledge of movable property</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continuation of the table</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176"/>
        <w:gridCol w:w="1088"/>
        <w:gridCol w:w="1309"/>
        <w:gridCol w:w="908"/>
        <w:gridCol w:w="879"/>
        <w:gridCol w:w="983"/>
        <w:gridCol w:w="1309"/>
        <w:gridCol w:w="879"/>
        <w:gridCol w:w="1309"/>
        <w:gridCol w:w="87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 rendered</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extracts from the register of the pledge of movable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received applications on correction of errors in registration documents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received applications for amendments and additions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rejected applications for amendments and additions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applications for amendments and additions</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fee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Name of the branch _______________________________________</w:t>
      </w:r>
    </w:p>
    <w:bookmarkStart w:name="z39" w:id="35"/>
    <w:p>
      <w:pPr>
        <w:spacing w:after="0"/>
        <w:ind w:left="0"/>
        <w:jc w:val="both"/>
      </w:pPr>
      <w:r>
        <w:rPr>
          <w:rFonts w:ascii="Times New Roman"/>
          <w:b w:val="false"/>
          <w:i w:val="false"/>
          <w:color w:val="000000"/>
          <w:sz w:val="28"/>
        </w:rPr>
        <w:t>
      Address ______________________________________________________</w:t>
      </w:r>
    </w:p>
    <w:bookmarkEnd w:id="35"/>
    <w:bookmarkStart w:name="z40" w:id="36"/>
    <w:p>
      <w:pPr>
        <w:spacing w:after="0"/>
        <w:ind w:left="0"/>
        <w:jc w:val="both"/>
      </w:pPr>
      <w:r>
        <w:rPr>
          <w:rFonts w:ascii="Times New Roman"/>
          <w:b w:val="false"/>
          <w:i w:val="false"/>
          <w:color w:val="000000"/>
          <w:sz w:val="28"/>
        </w:rPr>
        <w:t>
      E-mail address _____________________________________</w:t>
      </w:r>
    </w:p>
    <w:bookmarkEnd w:id="36"/>
    <w:bookmarkStart w:name="z41" w:id="37"/>
    <w:p>
      <w:pPr>
        <w:spacing w:after="0"/>
        <w:ind w:left="0"/>
        <w:jc w:val="both"/>
      </w:pPr>
      <w:r>
        <w:rPr>
          <w:rFonts w:ascii="Times New Roman"/>
          <w:b w:val="false"/>
          <w:i w:val="false"/>
          <w:color w:val="000000"/>
          <w:sz w:val="28"/>
        </w:rPr>
        <w:t>
      Surname and phone number of the executor _______________________________</w:t>
      </w:r>
    </w:p>
    <w:bookmarkEnd w:id="37"/>
    <w:bookmarkStart w:name="z42" w:id="38"/>
    <w:p>
      <w:pPr>
        <w:spacing w:after="0"/>
        <w:ind w:left="0"/>
        <w:jc w:val="both"/>
      </w:pPr>
      <w:r>
        <w:rPr>
          <w:rFonts w:ascii="Times New Roman"/>
          <w:b w:val="false"/>
          <w:i w:val="false"/>
          <w:color w:val="000000"/>
          <w:sz w:val="28"/>
        </w:rPr>
        <w:t>
      Telephone _________________</w:t>
      </w:r>
    </w:p>
    <w:bookmarkEnd w:id="38"/>
    <w:bookmarkStart w:name="z43" w:id="39"/>
    <w:p>
      <w:pPr>
        <w:spacing w:after="0"/>
        <w:ind w:left="0"/>
        <w:jc w:val="both"/>
      </w:pPr>
      <w:r>
        <w:rPr>
          <w:rFonts w:ascii="Times New Roman"/>
          <w:b w:val="false"/>
          <w:i w:val="false"/>
          <w:color w:val="000000"/>
          <w:sz w:val="28"/>
        </w:rPr>
        <w:t>
      Head ____________________________________________________________</w:t>
      </w:r>
    </w:p>
    <w:bookmarkEnd w:id="39"/>
    <w:bookmarkStart w:name="z44" w:id="40"/>
    <w:p>
      <w:pPr>
        <w:spacing w:after="0"/>
        <w:ind w:left="0"/>
        <w:jc w:val="both"/>
      </w:pPr>
      <w:r>
        <w:rPr>
          <w:rFonts w:ascii="Times New Roman"/>
          <w:b w:val="false"/>
          <w:i w:val="false"/>
          <w:color w:val="000000"/>
          <w:sz w:val="28"/>
        </w:rPr>
        <w:t>
       S. N. P. (if any) (signature)</w:t>
      </w:r>
    </w:p>
    <w:bookmarkEnd w:id="40"/>
    <w:bookmarkStart w:name="z45" w:id="41"/>
    <w:p>
      <w:pPr>
        <w:spacing w:after="0"/>
        <w:ind w:left="0"/>
        <w:jc w:val="both"/>
      </w:pPr>
      <w:r>
        <w:rPr>
          <w:rFonts w:ascii="Times New Roman"/>
          <w:b w:val="false"/>
          <w:i w:val="false"/>
          <w:color w:val="000000"/>
          <w:sz w:val="28"/>
        </w:rPr>
        <w:t xml:space="preserve">
      Date "___" ___________________ 20 ___ S. P. </w:t>
      </w:r>
    </w:p>
    <w:bookmarkEnd w:id="41"/>
    <w:bookmarkStart w:name="z46" w:id="42"/>
    <w:p>
      <w:pPr>
        <w:spacing w:after="0"/>
        <w:ind w:left="0"/>
        <w:jc w:val="both"/>
      </w:pPr>
      <w:r>
        <w:rPr>
          <w:rFonts w:ascii="Times New Roman"/>
          <w:b w:val="false"/>
          <w:i w:val="false"/>
          <w:color w:val="000000"/>
          <w:sz w:val="28"/>
        </w:rPr>
        <w:t>
      An explanation on filling out the form "Information on main performance indicators of the State corporation for registration of the pledge of movable property that is not subject to obligatory state registration" is given in the Appendix to this form.</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w:t>
            </w:r>
            <w:r>
              <w:br/>
            </w:r>
            <w:r>
              <w:rPr>
                <w:rFonts w:ascii="Times New Roman"/>
                <w:b w:val="false"/>
                <w:i w:val="false"/>
                <w:color w:val="000000"/>
                <w:sz w:val="20"/>
              </w:rPr>
              <w:t xml:space="preserve"> "Information on main</w:t>
            </w:r>
            <w:r>
              <w:br/>
            </w:r>
            <w:r>
              <w:rPr>
                <w:rFonts w:ascii="Times New Roman"/>
                <w:b w:val="false"/>
                <w:i w:val="false"/>
                <w:color w:val="000000"/>
                <w:sz w:val="20"/>
              </w:rPr>
              <w:t xml:space="preserve"> performance indicators of the </w:t>
            </w:r>
            <w:r>
              <w:br/>
            </w:r>
            <w:r>
              <w:rPr>
                <w:rFonts w:ascii="Times New Roman"/>
                <w:b w:val="false"/>
                <w:i w:val="false"/>
                <w:color w:val="000000"/>
                <w:sz w:val="20"/>
              </w:rPr>
              <w:t xml:space="preserve"> State corporation for registration </w:t>
            </w:r>
            <w:r>
              <w:br/>
            </w:r>
            <w:r>
              <w:rPr>
                <w:rFonts w:ascii="Times New Roman"/>
                <w:b w:val="false"/>
                <w:i w:val="false"/>
                <w:color w:val="000000"/>
                <w:sz w:val="20"/>
              </w:rPr>
              <w:t xml:space="preserve">of the pledge of movable </w:t>
            </w:r>
            <w:r>
              <w:br/>
            </w:r>
            <w:r>
              <w:rPr>
                <w:rFonts w:ascii="Times New Roman"/>
                <w:b w:val="false"/>
                <w:i w:val="false"/>
                <w:color w:val="000000"/>
                <w:sz w:val="20"/>
              </w:rPr>
              <w:t xml:space="preserve"> property that is not subject to </w:t>
            </w:r>
            <w:r>
              <w:br/>
            </w:r>
            <w:r>
              <w:rPr>
                <w:rFonts w:ascii="Times New Roman"/>
                <w:b w:val="false"/>
                <w:i w:val="false"/>
                <w:color w:val="000000"/>
                <w:sz w:val="20"/>
              </w:rPr>
              <w:t xml:space="preserve"> obligatory state registration"</w:t>
            </w:r>
          </w:p>
        </w:tc>
      </w:tr>
    </w:tbl>
    <w:bookmarkStart w:name="z48" w:id="43"/>
    <w:p>
      <w:pPr>
        <w:spacing w:after="0"/>
        <w:ind w:left="0"/>
        <w:jc w:val="left"/>
      </w:pPr>
      <w:r>
        <w:rPr>
          <w:rFonts w:ascii="Times New Roman"/>
          <w:b/>
          <w:i w:val="false"/>
          <w:color w:val="000000"/>
        </w:rPr>
        <w:t xml:space="preserve"> Explanation on filling out the form "Information on main performance indicators of the State corporation for registration of the pledge of movable property that is not subject to obligatory state registration"</w:t>
      </w:r>
    </w:p>
    <w:bookmarkEnd w:id="43"/>
    <w:bookmarkStart w:name="z49" w:id="44"/>
    <w:p>
      <w:pPr>
        <w:spacing w:after="0"/>
        <w:ind w:left="0"/>
        <w:jc w:val="both"/>
      </w:pPr>
      <w:r>
        <w:rPr>
          <w:rFonts w:ascii="Times New Roman"/>
          <w:b w:val="false"/>
          <w:i w:val="false"/>
          <w:color w:val="000000"/>
          <w:sz w:val="28"/>
        </w:rPr>
        <w:t>
      Fill in the form as follows:</w:t>
      </w:r>
    </w:p>
    <w:bookmarkEnd w:id="44"/>
    <w:bookmarkStart w:name="z50" w:id="45"/>
    <w:p>
      <w:pPr>
        <w:spacing w:after="0"/>
        <w:ind w:left="0"/>
        <w:jc w:val="both"/>
      </w:pPr>
      <w:r>
        <w:rPr>
          <w:rFonts w:ascii="Times New Roman"/>
          <w:b w:val="false"/>
          <w:i w:val="false"/>
          <w:color w:val="000000"/>
          <w:sz w:val="28"/>
        </w:rPr>
        <w:t>
      column 1 indicates the serial number;</w:t>
      </w:r>
    </w:p>
    <w:bookmarkEnd w:id="45"/>
    <w:bookmarkStart w:name="z51" w:id="46"/>
    <w:p>
      <w:pPr>
        <w:spacing w:after="0"/>
        <w:ind w:left="0"/>
        <w:jc w:val="both"/>
      </w:pPr>
      <w:r>
        <w:rPr>
          <w:rFonts w:ascii="Times New Roman"/>
          <w:b w:val="false"/>
          <w:i w:val="false"/>
          <w:color w:val="000000"/>
          <w:sz w:val="28"/>
        </w:rPr>
        <w:t>
      column 2-indicates the name of the branch of the State corporation of regions, cities of republican significance and the capital city;</w:t>
      </w:r>
    </w:p>
    <w:bookmarkEnd w:id="46"/>
    <w:bookmarkStart w:name="z52" w:id="47"/>
    <w:p>
      <w:pPr>
        <w:spacing w:after="0"/>
        <w:ind w:left="0"/>
        <w:jc w:val="both"/>
      </w:pPr>
      <w:r>
        <w:rPr>
          <w:rFonts w:ascii="Times New Roman"/>
          <w:b w:val="false"/>
          <w:i w:val="false"/>
          <w:color w:val="000000"/>
          <w:sz w:val="28"/>
        </w:rPr>
        <w:t>
      Column 3 indicates the reporting period;</w:t>
      </w:r>
    </w:p>
    <w:bookmarkEnd w:id="47"/>
    <w:bookmarkStart w:name="z53" w:id="48"/>
    <w:p>
      <w:pPr>
        <w:spacing w:after="0"/>
        <w:ind w:left="0"/>
        <w:jc w:val="both"/>
      </w:pPr>
      <w:r>
        <w:rPr>
          <w:rFonts w:ascii="Times New Roman"/>
          <w:b w:val="false"/>
          <w:i w:val="false"/>
          <w:color w:val="000000"/>
          <w:sz w:val="28"/>
        </w:rPr>
        <w:t>
      Column 4 indicates the form of filing an application for registration of the pledge of movable property on paper or through the portal;</w:t>
      </w:r>
    </w:p>
    <w:bookmarkEnd w:id="48"/>
    <w:bookmarkStart w:name="z54" w:id="49"/>
    <w:p>
      <w:pPr>
        <w:spacing w:after="0"/>
        <w:ind w:left="0"/>
        <w:jc w:val="both"/>
      </w:pPr>
      <w:r>
        <w:rPr>
          <w:rFonts w:ascii="Times New Roman"/>
          <w:b w:val="false"/>
          <w:i w:val="false"/>
          <w:color w:val="000000"/>
          <w:sz w:val="28"/>
        </w:rPr>
        <w:t>
      Column 5 indicates the number of received applications for registration of the pledge of movable property and includes 4 sections:</w:t>
      </w:r>
    </w:p>
    <w:bookmarkEnd w:id="49"/>
    <w:bookmarkStart w:name="z55" w:id="50"/>
    <w:p>
      <w:pPr>
        <w:spacing w:after="0"/>
        <w:ind w:left="0"/>
        <w:jc w:val="both"/>
      </w:pPr>
      <w:r>
        <w:rPr>
          <w:rFonts w:ascii="Times New Roman"/>
          <w:b w:val="false"/>
          <w:i w:val="false"/>
          <w:color w:val="000000"/>
          <w:sz w:val="28"/>
        </w:rPr>
        <w:t>
      1) individuals;</w:t>
      </w:r>
    </w:p>
    <w:bookmarkEnd w:id="50"/>
    <w:bookmarkStart w:name="z56" w:id="51"/>
    <w:p>
      <w:pPr>
        <w:spacing w:after="0"/>
        <w:ind w:left="0"/>
        <w:jc w:val="both"/>
      </w:pPr>
      <w:r>
        <w:rPr>
          <w:rFonts w:ascii="Times New Roman"/>
          <w:b w:val="false"/>
          <w:i w:val="false"/>
          <w:color w:val="000000"/>
          <w:sz w:val="28"/>
        </w:rPr>
        <w:t>
      2) amount of the fee paid to the budget for registration of the pledge of movable property;</w:t>
      </w:r>
    </w:p>
    <w:bookmarkEnd w:id="51"/>
    <w:bookmarkStart w:name="z57" w:id="52"/>
    <w:p>
      <w:pPr>
        <w:spacing w:after="0"/>
        <w:ind w:left="0"/>
        <w:jc w:val="both"/>
      </w:pPr>
      <w:r>
        <w:rPr>
          <w:rFonts w:ascii="Times New Roman"/>
          <w:b w:val="false"/>
          <w:i w:val="false"/>
          <w:color w:val="000000"/>
          <w:sz w:val="28"/>
        </w:rPr>
        <w:t>
      3) legal entities;</w:t>
      </w:r>
    </w:p>
    <w:bookmarkEnd w:id="52"/>
    <w:bookmarkStart w:name="z58" w:id="53"/>
    <w:p>
      <w:pPr>
        <w:spacing w:after="0"/>
        <w:ind w:left="0"/>
        <w:jc w:val="both"/>
      </w:pPr>
      <w:r>
        <w:rPr>
          <w:rFonts w:ascii="Times New Roman"/>
          <w:b w:val="false"/>
          <w:i w:val="false"/>
          <w:color w:val="000000"/>
          <w:sz w:val="28"/>
        </w:rPr>
        <w:t>
      4) amount of the fee paid to the budget for registration of the pledge of movable property.</w:t>
      </w:r>
    </w:p>
    <w:bookmarkEnd w:id="53"/>
    <w:bookmarkStart w:name="z59" w:id="54"/>
    <w:p>
      <w:pPr>
        <w:spacing w:after="0"/>
        <w:ind w:left="0"/>
        <w:jc w:val="both"/>
      </w:pPr>
      <w:r>
        <w:rPr>
          <w:rFonts w:ascii="Times New Roman"/>
          <w:b w:val="false"/>
          <w:i w:val="false"/>
          <w:color w:val="000000"/>
          <w:sz w:val="28"/>
        </w:rPr>
        <w:t>
      Column 6 indicates the number of registered contracts for the pledge of movable property that is not subject to obligatory state registration and includes 2 sections:</w:t>
      </w:r>
    </w:p>
    <w:bookmarkEnd w:id="54"/>
    <w:bookmarkStart w:name="z60" w:id="55"/>
    <w:p>
      <w:pPr>
        <w:spacing w:after="0"/>
        <w:ind w:left="0"/>
        <w:jc w:val="both"/>
      </w:pPr>
      <w:r>
        <w:rPr>
          <w:rFonts w:ascii="Times New Roman"/>
          <w:b w:val="false"/>
          <w:i w:val="false"/>
          <w:color w:val="000000"/>
          <w:sz w:val="28"/>
        </w:rPr>
        <w:t>
      1) individuals;</w:t>
      </w:r>
    </w:p>
    <w:bookmarkEnd w:id="55"/>
    <w:bookmarkStart w:name="z61" w:id="56"/>
    <w:p>
      <w:pPr>
        <w:spacing w:after="0"/>
        <w:ind w:left="0"/>
        <w:jc w:val="both"/>
      </w:pPr>
      <w:r>
        <w:rPr>
          <w:rFonts w:ascii="Times New Roman"/>
          <w:b w:val="false"/>
          <w:i w:val="false"/>
          <w:color w:val="000000"/>
          <w:sz w:val="28"/>
        </w:rPr>
        <w:t>
      2) legal entities.</w:t>
      </w:r>
    </w:p>
    <w:bookmarkEnd w:id="56"/>
    <w:bookmarkStart w:name="z62" w:id="57"/>
    <w:p>
      <w:pPr>
        <w:spacing w:after="0"/>
        <w:ind w:left="0"/>
        <w:jc w:val="both"/>
      </w:pPr>
      <w:r>
        <w:rPr>
          <w:rFonts w:ascii="Times New Roman"/>
          <w:b w:val="false"/>
          <w:i w:val="false"/>
          <w:color w:val="000000"/>
          <w:sz w:val="28"/>
        </w:rPr>
        <w:t>
      Column 7 indicates the number of refused applications for registration of the pledge of movable property and includes 2 sections:</w:t>
      </w:r>
    </w:p>
    <w:bookmarkEnd w:id="57"/>
    <w:bookmarkStart w:name="z63" w:id="58"/>
    <w:p>
      <w:pPr>
        <w:spacing w:after="0"/>
        <w:ind w:left="0"/>
        <w:jc w:val="both"/>
      </w:pPr>
      <w:r>
        <w:rPr>
          <w:rFonts w:ascii="Times New Roman"/>
          <w:b w:val="false"/>
          <w:i w:val="false"/>
          <w:color w:val="000000"/>
          <w:sz w:val="28"/>
        </w:rPr>
        <w:t>
      1) individuals;</w:t>
      </w:r>
    </w:p>
    <w:bookmarkEnd w:id="58"/>
    <w:bookmarkStart w:name="z64" w:id="59"/>
    <w:p>
      <w:pPr>
        <w:spacing w:after="0"/>
        <w:ind w:left="0"/>
        <w:jc w:val="both"/>
      </w:pPr>
      <w:r>
        <w:rPr>
          <w:rFonts w:ascii="Times New Roman"/>
          <w:b w:val="false"/>
          <w:i w:val="false"/>
          <w:color w:val="000000"/>
          <w:sz w:val="28"/>
        </w:rPr>
        <w:t>
      2) legal entities;</w:t>
      </w:r>
    </w:p>
    <w:bookmarkEnd w:id="59"/>
    <w:bookmarkStart w:name="z65" w:id="60"/>
    <w:p>
      <w:pPr>
        <w:spacing w:after="0"/>
        <w:ind w:left="0"/>
        <w:jc w:val="both"/>
      </w:pPr>
      <w:r>
        <w:rPr>
          <w:rFonts w:ascii="Times New Roman"/>
          <w:b w:val="false"/>
          <w:i w:val="false"/>
          <w:color w:val="000000"/>
          <w:sz w:val="28"/>
        </w:rPr>
        <w:t>
      Column 8 indicates the terms of registration of the pledge of movable property and includes 2 sections:</w:t>
      </w:r>
    </w:p>
    <w:bookmarkEnd w:id="60"/>
    <w:bookmarkStart w:name="z66" w:id="61"/>
    <w:p>
      <w:pPr>
        <w:spacing w:after="0"/>
        <w:ind w:left="0"/>
        <w:jc w:val="both"/>
      </w:pPr>
      <w:r>
        <w:rPr>
          <w:rFonts w:ascii="Times New Roman"/>
          <w:b w:val="false"/>
          <w:i w:val="false"/>
          <w:color w:val="000000"/>
          <w:sz w:val="28"/>
        </w:rPr>
        <w:t>
      1) more than 2 days paper;</w:t>
      </w:r>
    </w:p>
    <w:bookmarkEnd w:id="61"/>
    <w:bookmarkStart w:name="z67" w:id="62"/>
    <w:p>
      <w:pPr>
        <w:spacing w:after="0"/>
        <w:ind w:left="0"/>
        <w:jc w:val="both"/>
      </w:pPr>
      <w:r>
        <w:rPr>
          <w:rFonts w:ascii="Times New Roman"/>
          <w:b w:val="false"/>
          <w:i w:val="false"/>
          <w:color w:val="000000"/>
          <w:sz w:val="28"/>
        </w:rPr>
        <w:t>
      2) more than 1 day electronic after entering into the information system of the pledgee on the portal.</w:t>
      </w:r>
    </w:p>
    <w:bookmarkEnd w:id="62"/>
    <w:bookmarkStart w:name="z68" w:id="63"/>
    <w:p>
      <w:pPr>
        <w:spacing w:after="0"/>
        <w:ind w:left="0"/>
        <w:jc w:val="both"/>
      </w:pPr>
      <w:r>
        <w:rPr>
          <w:rFonts w:ascii="Times New Roman"/>
          <w:b w:val="false"/>
          <w:i w:val="false"/>
          <w:color w:val="000000"/>
          <w:sz w:val="28"/>
        </w:rPr>
        <w:t>
      Column 9 indicates the number of received applications for termination of registration of the pledge of movable property and includes 4 sections:</w:t>
      </w:r>
    </w:p>
    <w:bookmarkEnd w:id="63"/>
    <w:bookmarkStart w:name="z69" w:id="64"/>
    <w:p>
      <w:pPr>
        <w:spacing w:after="0"/>
        <w:ind w:left="0"/>
        <w:jc w:val="both"/>
      </w:pPr>
      <w:r>
        <w:rPr>
          <w:rFonts w:ascii="Times New Roman"/>
          <w:b w:val="false"/>
          <w:i w:val="false"/>
          <w:color w:val="000000"/>
          <w:sz w:val="28"/>
        </w:rPr>
        <w:t>
      1) individuals;</w:t>
      </w:r>
    </w:p>
    <w:bookmarkEnd w:id="64"/>
    <w:bookmarkStart w:name="z70" w:id="65"/>
    <w:p>
      <w:pPr>
        <w:spacing w:after="0"/>
        <w:ind w:left="0"/>
        <w:jc w:val="both"/>
      </w:pPr>
      <w:r>
        <w:rPr>
          <w:rFonts w:ascii="Times New Roman"/>
          <w:b w:val="false"/>
          <w:i w:val="false"/>
          <w:color w:val="000000"/>
          <w:sz w:val="28"/>
        </w:rPr>
        <w:t>
      2) amount of the fee paid to the budget for termination of registration of the pledge of movable property;</w:t>
      </w:r>
    </w:p>
    <w:bookmarkEnd w:id="65"/>
    <w:bookmarkStart w:name="z71" w:id="66"/>
    <w:p>
      <w:pPr>
        <w:spacing w:after="0"/>
        <w:ind w:left="0"/>
        <w:jc w:val="both"/>
      </w:pPr>
      <w:r>
        <w:rPr>
          <w:rFonts w:ascii="Times New Roman"/>
          <w:b w:val="false"/>
          <w:i w:val="false"/>
          <w:color w:val="000000"/>
          <w:sz w:val="28"/>
        </w:rPr>
        <w:t>
      3) legal entities;</w:t>
      </w:r>
    </w:p>
    <w:bookmarkEnd w:id="66"/>
    <w:bookmarkStart w:name="z72" w:id="67"/>
    <w:p>
      <w:pPr>
        <w:spacing w:after="0"/>
        <w:ind w:left="0"/>
        <w:jc w:val="both"/>
      </w:pPr>
      <w:r>
        <w:rPr>
          <w:rFonts w:ascii="Times New Roman"/>
          <w:b w:val="false"/>
          <w:i w:val="false"/>
          <w:color w:val="000000"/>
          <w:sz w:val="28"/>
        </w:rPr>
        <w:t>
      4) amount of the fee paid to the budget for termination of registration of the pledge of movable property.</w:t>
      </w:r>
    </w:p>
    <w:bookmarkEnd w:id="67"/>
    <w:bookmarkStart w:name="z73" w:id="68"/>
    <w:p>
      <w:pPr>
        <w:spacing w:after="0"/>
        <w:ind w:left="0"/>
        <w:jc w:val="both"/>
      </w:pPr>
      <w:r>
        <w:rPr>
          <w:rFonts w:ascii="Times New Roman"/>
          <w:b w:val="false"/>
          <w:i w:val="false"/>
          <w:color w:val="000000"/>
          <w:sz w:val="28"/>
        </w:rPr>
        <w:t>
      Column 10 indicates the number of terminated contracts for registration of the pledge of movable property and includes 2 sections:</w:t>
      </w:r>
    </w:p>
    <w:bookmarkEnd w:id="68"/>
    <w:bookmarkStart w:name="z74" w:id="69"/>
    <w:p>
      <w:pPr>
        <w:spacing w:after="0"/>
        <w:ind w:left="0"/>
        <w:jc w:val="both"/>
      </w:pPr>
      <w:r>
        <w:rPr>
          <w:rFonts w:ascii="Times New Roman"/>
          <w:b w:val="false"/>
          <w:i w:val="false"/>
          <w:color w:val="000000"/>
          <w:sz w:val="28"/>
        </w:rPr>
        <w:t>
      1) individuals;</w:t>
      </w:r>
    </w:p>
    <w:bookmarkEnd w:id="69"/>
    <w:bookmarkStart w:name="z75" w:id="70"/>
    <w:p>
      <w:pPr>
        <w:spacing w:after="0"/>
        <w:ind w:left="0"/>
        <w:jc w:val="both"/>
      </w:pPr>
      <w:r>
        <w:rPr>
          <w:rFonts w:ascii="Times New Roman"/>
          <w:b w:val="false"/>
          <w:i w:val="false"/>
          <w:color w:val="000000"/>
          <w:sz w:val="28"/>
        </w:rPr>
        <w:t>
      2) legal entities.</w:t>
      </w:r>
    </w:p>
    <w:bookmarkEnd w:id="70"/>
    <w:bookmarkStart w:name="z76" w:id="71"/>
    <w:p>
      <w:pPr>
        <w:spacing w:after="0"/>
        <w:ind w:left="0"/>
        <w:jc w:val="both"/>
      </w:pPr>
      <w:r>
        <w:rPr>
          <w:rFonts w:ascii="Times New Roman"/>
          <w:b w:val="false"/>
          <w:i w:val="false"/>
          <w:color w:val="000000"/>
          <w:sz w:val="28"/>
        </w:rPr>
        <w:t>
      Column 11 indicates the number of issued certificates of registration of the pledge of movable property and includes 2 sections:</w:t>
      </w:r>
    </w:p>
    <w:bookmarkEnd w:id="71"/>
    <w:bookmarkStart w:name="z77" w:id="72"/>
    <w:p>
      <w:pPr>
        <w:spacing w:after="0"/>
        <w:ind w:left="0"/>
        <w:jc w:val="both"/>
      </w:pPr>
      <w:r>
        <w:rPr>
          <w:rFonts w:ascii="Times New Roman"/>
          <w:b w:val="false"/>
          <w:i w:val="false"/>
          <w:color w:val="000000"/>
          <w:sz w:val="28"/>
        </w:rPr>
        <w:t>
      1) number;</w:t>
      </w:r>
    </w:p>
    <w:bookmarkEnd w:id="72"/>
    <w:bookmarkStart w:name="z78" w:id="73"/>
    <w:p>
      <w:pPr>
        <w:spacing w:after="0"/>
        <w:ind w:left="0"/>
        <w:jc w:val="both"/>
      </w:pPr>
      <w:r>
        <w:rPr>
          <w:rFonts w:ascii="Times New Roman"/>
          <w:b w:val="false"/>
          <w:i w:val="false"/>
          <w:color w:val="000000"/>
          <w:sz w:val="28"/>
        </w:rPr>
        <w:t>
      2) amount;</w:t>
      </w:r>
    </w:p>
    <w:bookmarkEnd w:id="73"/>
    <w:bookmarkStart w:name="z79" w:id="74"/>
    <w:p>
      <w:pPr>
        <w:spacing w:after="0"/>
        <w:ind w:left="0"/>
        <w:jc w:val="both"/>
      </w:pPr>
      <w:r>
        <w:rPr>
          <w:rFonts w:ascii="Times New Roman"/>
          <w:b w:val="false"/>
          <w:i w:val="false"/>
          <w:color w:val="000000"/>
          <w:sz w:val="28"/>
        </w:rPr>
        <w:t>
      Column 12 indicates the number of issued duplicate certificates of registration of the pledge of movable property and includes 2 sections:</w:t>
      </w:r>
    </w:p>
    <w:bookmarkEnd w:id="74"/>
    <w:bookmarkStart w:name="z80" w:id="75"/>
    <w:p>
      <w:pPr>
        <w:spacing w:after="0"/>
        <w:ind w:left="0"/>
        <w:jc w:val="both"/>
      </w:pPr>
      <w:r>
        <w:rPr>
          <w:rFonts w:ascii="Times New Roman"/>
          <w:b w:val="false"/>
          <w:i w:val="false"/>
          <w:color w:val="000000"/>
          <w:sz w:val="28"/>
        </w:rPr>
        <w:t>
      1) number;</w:t>
      </w:r>
    </w:p>
    <w:bookmarkEnd w:id="75"/>
    <w:bookmarkStart w:name="z81" w:id="76"/>
    <w:p>
      <w:pPr>
        <w:spacing w:after="0"/>
        <w:ind w:left="0"/>
        <w:jc w:val="both"/>
      </w:pPr>
      <w:r>
        <w:rPr>
          <w:rFonts w:ascii="Times New Roman"/>
          <w:b w:val="false"/>
          <w:i w:val="false"/>
          <w:color w:val="000000"/>
          <w:sz w:val="28"/>
        </w:rPr>
        <w:t>
      2) amount.</w:t>
      </w:r>
    </w:p>
    <w:bookmarkEnd w:id="76"/>
    <w:bookmarkStart w:name="z82" w:id="77"/>
    <w:p>
      <w:pPr>
        <w:spacing w:after="0"/>
        <w:ind w:left="0"/>
        <w:jc w:val="both"/>
      </w:pPr>
      <w:r>
        <w:rPr>
          <w:rFonts w:ascii="Times New Roman"/>
          <w:b w:val="false"/>
          <w:i w:val="false"/>
          <w:color w:val="000000"/>
          <w:sz w:val="28"/>
        </w:rPr>
        <w:t xml:space="preserve">
      Column 13 indicates the number of extracts from the register of the pledge of movable property. </w:t>
      </w:r>
    </w:p>
    <w:bookmarkEnd w:id="77"/>
    <w:bookmarkStart w:name="z83" w:id="78"/>
    <w:p>
      <w:pPr>
        <w:spacing w:after="0"/>
        <w:ind w:left="0"/>
        <w:jc w:val="both"/>
      </w:pPr>
      <w:r>
        <w:rPr>
          <w:rFonts w:ascii="Times New Roman"/>
          <w:b w:val="false"/>
          <w:i w:val="false"/>
          <w:color w:val="000000"/>
          <w:sz w:val="28"/>
        </w:rPr>
        <w:t>
      Column 14 indicates the number of received applications on correct of errors in registration documents and includes 4 sections:</w:t>
      </w:r>
    </w:p>
    <w:bookmarkEnd w:id="78"/>
    <w:bookmarkStart w:name="z84" w:id="79"/>
    <w:p>
      <w:pPr>
        <w:spacing w:after="0"/>
        <w:ind w:left="0"/>
        <w:jc w:val="both"/>
      </w:pPr>
      <w:r>
        <w:rPr>
          <w:rFonts w:ascii="Times New Roman"/>
          <w:b w:val="false"/>
          <w:i w:val="false"/>
          <w:color w:val="000000"/>
          <w:sz w:val="28"/>
        </w:rPr>
        <w:t>
      1) individuals;</w:t>
      </w:r>
    </w:p>
    <w:bookmarkEnd w:id="79"/>
    <w:bookmarkStart w:name="z85" w:id="80"/>
    <w:p>
      <w:pPr>
        <w:spacing w:after="0"/>
        <w:ind w:left="0"/>
        <w:jc w:val="both"/>
      </w:pPr>
      <w:r>
        <w:rPr>
          <w:rFonts w:ascii="Times New Roman"/>
          <w:b w:val="false"/>
          <w:i w:val="false"/>
          <w:color w:val="000000"/>
          <w:sz w:val="28"/>
        </w:rPr>
        <w:t>
      2) amount of the fee;</w:t>
      </w:r>
    </w:p>
    <w:bookmarkEnd w:id="80"/>
    <w:bookmarkStart w:name="z86" w:id="81"/>
    <w:p>
      <w:pPr>
        <w:spacing w:after="0"/>
        <w:ind w:left="0"/>
        <w:jc w:val="both"/>
      </w:pPr>
      <w:r>
        <w:rPr>
          <w:rFonts w:ascii="Times New Roman"/>
          <w:b w:val="false"/>
          <w:i w:val="false"/>
          <w:color w:val="000000"/>
          <w:sz w:val="28"/>
        </w:rPr>
        <w:t>
      3) legal entities;</w:t>
      </w:r>
    </w:p>
    <w:bookmarkEnd w:id="81"/>
    <w:bookmarkStart w:name="z87" w:id="82"/>
    <w:p>
      <w:pPr>
        <w:spacing w:after="0"/>
        <w:ind w:left="0"/>
        <w:jc w:val="both"/>
      </w:pPr>
      <w:r>
        <w:rPr>
          <w:rFonts w:ascii="Times New Roman"/>
          <w:b w:val="false"/>
          <w:i w:val="false"/>
          <w:color w:val="000000"/>
          <w:sz w:val="28"/>
        </w:rPr>
        <w:t>
      4) amount of the fee.</w:t>
      </w:r>
    </w:p>
    <w:bookmarkEnd w:id="82"/>
    <w:bookmarkStart w:name="z88" w:id="83"/>
    <w:p>
      <w:pPr>
        <w:spacing w:after="0"/>
        <w:ind w:left="0"/>
        <w:jc w:val="both"/>
      </w:pPr>
      <w:r>
        <w:rPr>
          <w:rFonts w:ascii="Times New Roman"/>
          <w:b w:val="false"/>
          <w:i w:val="false"/>
          <w:color w:val="000000"/>
          <w:sz w:val="28"/>
        </w:rPr>
        <w:t>
      Column 15 indicates the number of received applications for amendments and additions and includes 4 sections:</w:t>
      </w:r>
    </w:p>
    <w:bookmarkEnd w:id="83"/>
    <w:bookmarkStart w:name="z89" w:id="84"/>
    <w:p>
      <w:pPr>
        <w:spacing w:after="0"/>
        <w:ind w:left="0"/>
        <w:jc w:val="both"/>
      </w:pPr>
      <w:r>
        <w:rPr>
          <w:rFonts w:ascii="Times New Roman"/>
          <w:b w:val="false"/>
          <w:i w:val="false"/>
          <w:color w:val="000000"/>
          <w:sz w:val="28"/>
        </w:rPr>
        <w:t>
      1) individuals;</w:t>
      </w:r>
    </w:p>
    <w:bookmarkEnd w:id="84"/>
    <w:bookmarkStart w:name="z90" w:id="85"/>
    <w:p>
      <w:pPr>
        <w:spacing w:after="0"/>
        <w:ind w:left="0"/>
        <w:jc w:val="both"/>
      </w:pPr>
      <w:r>
        <w:rPr>
          <w:rFonts w:ascii="Times New Roman"/>
          <w:b w:val="false"/>
          <w:i w:val="false"/>
          <w:color w:val="000000"/>
          <w:sz w:val="28"/>
        </w:rPr>
        <w:t>
      2) amount of the fee paid to the budget for amendments and additions to the registered pledge;</w:t>
      </w:r>
    </w:p>
    <w:bookmarkEnd w:id="85"/>
    <w:bookmarkStart w:name="z91" w:id="86"/>
    <w:p>
      <w:pPr>
        <w:spacing w:after="0"/>
        <w:ind w:left="0"/>
        <w:jc w:val="both"/>
      </w:pPr>
      <w:r>
        <w:rPr>
          <w:rFonts w:ascii="Times New Roman"/>
          <w:b w:val="false"/>
          <w:i w:val="false"/>
          <w:color w:val="000000"/>
          <w:sz w:val="28"/>
        </w:rPr>
        <w:t>
      3) legal entities;</w:t>
      </w:r>
    </w:p>
    <w:bookmarkEnd w:id="86"/>
    <w:bookmarkStart w:name="z92" w:id="87"/>
    <w:p>
      <w:pPr>
        <w:spacing w:after="0"/>
        <w:ind w:left="0"/>
        <w:jc w:val="both"/>
      </w:pPr>
      <w:r>
        <w:rPr>
          <w:rFonts w:ascii="Times New Roman"/>
          <w:b w:val="false"/>
          <w:i w:val="false"/>
          <w:color w:val="000000"/>
          <w:sz w:val="28"/>
        </w:rPr>
        <w:t>
      4) amount of the fee paid to the budget for amendments and additions to the registered pledge.</w:t>
      </w:r>
    </w:p>
    <w:bookmarkEnd w:id="87"/>
    <w:bookmarkStart w:name="z93" w:id="88"/>
    <w:p>
      <w:pPr>
        <w:spacing w:after="0"/>
        <w:ind w:left="0"/>
        <w:jc w:val="both"/>
      </w:pPr>
      <w:r>
        <w:rPr>
          <w:rFonts w:ascii="Times New Roman"/>
          <w:b w:val="false"/>
          <w:i w:val="false"/>
          <w:color w:val="000000"/>
          <w:sz w:val="28"/>
        </w:rPr>
        <w:t>
      Column 16 indicates the number of rejected applications for amendments and additions and includes 2 sections:</w:t>
      </w:r>
    </w:p>
    <w:bookmarkEnd w:id="88"/>
    <w:bookmarkStart w:name="z94" w:id="89"/>
    <w:p>
      <w:pPr>
        <w:spacing w:after="0"/>
        <w:ind w:left="0"/>
        <w:jc w:val="both"/>
      </w:pPr>
      <w:r>
        <w:rPr>
          <w:rFonts w:ascii="Times New Roman"/>
          <w:b w:val="false"/>
          <w:i w:val="false"/>
          <w:color w:val="000000"/>
          <w:sz w:val="28"/>
        </w:rPr>
        <w:t>
      1) individuals;</w:t>
      </w:r>
    </w:p>
    <w:bookmarkEnd w:id="89"/>
    <w:bookmarkStart w:name="z95" w:id="90"/>
    <w:p>
      <w:pPr>
        <w:spacing w:after="0"/>
        <w:ind w:left="0"/>
        <w:jc w:val="both"/>
      </w:pPr>
      <w:r>
        <w:rPr>
          <w:rFonts w:ascii="Times New Roman"/>
          <w:b w:val="false"/>
          <w:i w:val="false"/>
          <w:color w:val="000000"/>
          <w:sz w:val="28"/>
        </w:rPr>
        <w:t>
      2) legal entities.</w:t>
      </w:r>
    </w:p>
    <w:bookmarkEnd w:id="90"/>
    <w:bookmarkStart w:name="z96" w:id="91"/>
    <w:p>
      <w:pPr>
        <w:spacing w:after="0"/>
        <w:ind w:left="0"/>
        <w:jc w:val="both"/>
      </w:pPr>
      <w:r>
        <w:rPr>
          <w:rFonts w:ascii="Times New Roman"/>
          <w:b w:val="false"/>
          <w:i w:val="false"/>
          <w:color w:val="000000"/>
          <w:sz w:val="28"/>
        </w:rPr>
        <w:t>
      Column 17 indicates the number of registered applications for amendments and additions and includes 2 sections:</w:t>
      </w:r>
    </w:p>
    <w:bookmarkEnd w:id="91"/>
    <w:bookmarkStart w:name="z97" w:id="92"/>
    <w:p>
      <w:pPr>
        <w:spacing w:after="0"/>
        <w:ind w:left="0"/>
        <w:jc w:val="both"/>
      </w:pPr>
      <w:r>
        <w:rPr>
          <w:rFonts w:ascii="Times New Roman"/>
          <w:b w:val="false"/>
          <w:i w:val="false"/>
          <w:color w:val="000000"/>
          <w:sz w:val="28"/>
        </w:rPr>
        <w:t>
      1) individuals;</w:t>
      </w:r>
    </w:p>
    <w:bookmarkEnd w:id="92"/>
    <w:bookmarkStart w:name="z98" w:id="93"/>
    <w:p>
      <w:pPr>
        <w:spacing w:after="0"/>
        <w:ind w:left="0"/>
        <w:jc w:val="both"/>
      </w:pPr>
      <w:r>
        <w:rPr>
          <w:rFonts w:ascii="Times New Roman"/>
          <w:b w:val="false"/>
          <w:i w:val="false"/>
          <w:color w:val="000000"/>
          <w:sz w:val="28"/>
        </w:rPr>
        <w:t>
      2) legal entities.</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providing</w:t>
            </w:r>
            <w:r>
              <w:br/>
            </w:r>
            <w:r>
              <w:rPr>
                <w:rFonts w:ascii="Times New Roman"/>
                <w:b w:val="false"/>
                <w:i w:val="false"/>
                <w:color w:val="000000"/>
                <w:sz w:val="20"/>
              </w:rPr>
              <w:t>statistical and other reporting</w:t>
            </w:r>
            <w:r>
              <w:br/>
            </w:r>
            <w:r>
              <w:rPr>
                <w:rFonts w:ascii="Times New Roman"/>
                <w:b w:val="false"/>
                <w:i w:val="false"/>
                <w:color w:val="000000"/>
                <w:sz w:val="20"/>
              </w:rPr>
              <w:t xml:space="preserve">information on the pledge of </w:t>
            </w:r>
            <w:r>
              <w:br/>
            </w:r>
            <w:r>
              <w:rPr>
                <w:rFonts w:ascii="Times New Roman"/>
                <w:b w:val="false"/>
                <w:i w:val="false"/>
                <w:color w:val="000000"/>
                <w:sz w:val="20"/>
              </w:rPr>
              <w:t xml:space="preserve">movable property by the </w:t>
            </w:r>
            <w:r>
              <w:br/>
            </w:r>
            <w:r>
              <w:rPr>
                <w:rFonts w:ascii="Times New Roman"/>
                <w:b w:val="false"/>
                <w:i w:val="false"/>
                <w:color w:val="000000"/>
                <w:sz w:val="20"/>
              </w:rPr>
              <w:t>State corporation</w:t>
            </w:r>
            <w:r>
              <w:br/>
            </w:r>
            <w:r>
              <w:rPr>
                <w:rFonts w:ascii="Times New Roman"/>
                <w:b w:val="false"/>
                <w:i w:val="false"/>
                <w:color w:val="000000"/>
                <w:sz w:val="20"/>
              </w:rPr>
              <w:t>"Government for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bookmarkStart w:name="z101" w:id="94"/>
    <w:p>
      <w:pPr>
        <w:spacing w:after="0"/>
        <w:ind w:left="0"/>
        <w:jc w:val="left"/>
      </w:pPr>
      <w:r>
        <w:rPr>
          <w:rFonts w:ascii="Times New Roman"/>
          <w:b/>
          <w:i w:val="false"/>
          <w:color w:val="000000"/>
        </w:rPr>
        <w:t xml:space="preserve"> Information on the number of court decisions on illegal refusal in registration of the pledge of movable property</w:t>
      </w:r>
    </w:p>
    <w:bookmarkEnd w:id="94"/>
    <w:bookmarkStart w:name="z102" w:id="95"/>
    <w:p>
      <w:pPr>
        <w:spacing w:after="0"/>
        <w:ind w:left="0"/>
        <w:jc w:val="both"/>
      </w:pPr>
      <w:r>
        <w:rPr>
          <w:rFonts w:ascii="Times New Roman"/>
          <w:b w:val="false"/>
          <w:i w:val="false"/>
          <w:color w:val="000000"/>
          <w:sz w:val="28"/>
        </w:rPr>
        <w:t>
      Reporting period ___ quarter 20 ____</w:t>
      </w:r>
    </w:p>
    <w:bookmarkEnd w:id="95"/>
    <w:bookmarkStart w:name="z103" w:id="96"/>
    <w:p>
      <w:pPr>
        <w:spacing w:after="0"/>
        <w:ind w:left="0"/>
        <w:jc w:val="both"/>
      </w:pPr>
      <w:r>
        <w:rPr>
          <w:rFonts w:ascii="Times New Roman"/>
          <w:b w:val="false"/>
          <w:i w:val="false"/>
          <w:color w:val="000000"/>
          <w:sz w:val="28"/>
        </w:rPr>
        <w:t>
      Index: 2. RPMP</w:t>
      </w:r>
    </w:p>
    <w:bookmarkEnd w:id="96"/>
    <w:bookmarkStart w:name="z104" w:id="97"/>
    <w:p>
      <w:pPr>
        <w:spacing w:after="0"/>
        <w:ind w:left="0"/>
        <w:jc w:val="both"/>
      </w:pPr>
      <w:r>
        <w:rPr>
          <w:rFonts w:ascii="Times New Roman"/>
          <w:b w:val="false"/>
          <w:i w:val="false"/>
          <w:color w:val="000000"/>
          <w:sz w:val="28"/>
        </w:rPr>
        <w:t xml:space="preserve">
      Frequency: quarterly </w:t>
      </w:r>
    </w:p>
    <w:bookmarkEnd w:id="97"/>
    <w:bookmarkStart w:name="z105" w:id="98"/>
    <w:p>
      <w:pPr>
        <w:spacing w:after="0"/>
        <w:ind w:left="0"/>
        <w:jc w:val="both"/>
      </w:pPr>
      <w:r>
        <w:rPr>
          <w:rFonts w:ascii="Times New Roman"/>
          <w:b w:val="false"/>
          <w:i w:val="false"/>
          <w:color w:val="000000"/>
          <w:sz w:val="28"/>
        </w:rPr>
        <w:t>
      Circle of persons providing: branches of the State corporation of regions, cities of republican significance and the capital city</w:t>
      </w:r>
    </w:p>
    <w:bookmarkEnd w:id="98"/>
    <w:bookmarkStart w:name="z106" w:id="99"/>
    <w:p>
      <w:pPr>
        <w:spacing w:after="0"/>
        <w:ind w:left="0"/>
        <w:jc w:val="both"/>
      </w:pPr>
      <w:r>
        <w:rPr>
          <w:rFonts w:ascii="Times New Roman"/>
          <w:b w:val="false"/>
          <w:i w:val="false"/>
          <w:color w:val="000000"/>
          <w:sz w:val="28"/>
        </w:rPr>
        <w:t>
      Where it is provided: State corporation</w:t>
      </w:r>
    </w:p>
    <w:bookmarkEnd w:id="99"/>
    <w:bookmarkStart w:name="z107" w:id="100"/>
    <w:p>
      <w:pPr>
        <w:spacing w:after="0"/>
        <w:ind w:left="0"/>
        <w:jc w:val="both"/>
      </w:pPr>
      <w:r>
        <w:rPr>
          <w:rFonts w:ascii="Times New Roman"/>
          <w:b w:val="false"/>
          <w:i w:val="false"/>
          <w:color w:val="000000"/>
          <w:sz w:val="28"/>
        </w:rPr>
        <w:t>
      Deadline for submission: quarterly by the 10th day following the reporting period.</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162"/>
        <w:gridCol w:w="3699"/>
        <w:gridCol w:w="1546"/>
        <w:gridCol w:w="265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branch of the State corporation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court decisions on invalidation of the pledge or its registration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fault of the registering body</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 other grounds</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entered into force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Name of the organization ___________________________________</w:t>
      </w:r>
    </w:p>
    <w:bookmarkEnd w:id="101"/>
    <w:bookmarkStart w:name="z109" w:id="102"/>
    <w:p>
      <w:pPr>
        <w:spacing w:after="0"/>
        <w:ind w:left="0"/>
        <w:jc w:val="both"/>
      </w:pPr>
      <w:r>
        <w:rPr>
          <w:rFonts w:ascii="Times New Roman"/>
          <w:b w:val="false"/>
          <w:i w:val="false"/>
          <w:color w:val="000000"/>
          <w:sz w:val="28"/>
        </w:rPr>
        <w:t>
      Address ______________________________________________________</w:t>
      </w:r>
    </w:p>
    <w:bookmarkEnd w:id="102"/>
    <w:bookmarkStart w:name="z110" w:id="103"/>
    <w:p>
      <w:pPr>
        <w:spacing w:after="0"/>
        <w:ind w:left="0"/>
        <w:jc w:val="both"/>
      </w:pPr>
      <w:r>
        <w:rPr>
          <w:rFonts w:ascii="Times New Roman"/>
          <w:b w:val="false"/>
          <w:i w:val="false"/>
          <w:color w:val="000000"/>
          <w:sz w:val="28"/>
        </w:rPr>
        <w:t>
      E-mail address _____________________________________</w:t>
      </w:r>
    </w:p>
    <w:bookmarkEnd w:id="103"/>
    <w:bookmarkStart w:name="z111" w:id="104"/>
    <w:p>
      <w:pPr>
        <w:spacing w:after="0"/>
        <w:ind w:left="0"/>
        <w:jc w:val="both"/>
      </w:pPr>
      <w:r>
        <w:rPr>
          <w:rFonts w:ascii="Times New Roman"/>
          <w:b w:val="false"/>
          <w:i w:val="false"/>
          <w:color w:val="000000"/>
          <w:sz w:val="28"/>
        </w:rPr>
        <w:t>
      Surname and phone number of the executor _______________________________</w:t>
      </w:r>
    </w:p>
    <w:bookmarkEnd w:id="104"/>
    <w:bookmarkStart w:name="z112" w:id="105"/>
    <w:p>
      <w:pPr>
        <w:spacing w:after="0"/>
        <w:ind w:left="0"/>
        <w:jc w:val="both"/>
      </w:pPr>
      <w:r>
        <w:rPr>
          <w:rFonts w:ascii="Times New Roman"/>
          <w:b w:val="false"/>
          <w:i w:val="false"/>
          <w:color w:val="000000"/>
          <w:sz w:val="28"/>
        </w:rPr>
        <w:t>
      Telephone _________________</w:t>
      </w:r>
    </w:p>
    <w:bookmarkEnd w:id="105"/>
    <w:bookmarkStart w:name="z113" w:id="106"/>
    <w:p>
      <w:pPr>
        <w:spacing w:after="0"/>
        <w:ind w:left="0"/>
        <w:jc w:val="both"/>
      </w:pPr>
      <w:r>
        <w:rPr>
          <w:rFonts w:ascii="Times New Roman"/>
          <w:b w:val="false"/>
          <w:i w:val="false"/>
          <w:color w:val="000000"/>
          <w:sz w:val="28"/>
        </w:rPr>
        <w:t>
      Head ____________________________________________________________</w:t>
      </w:r>
    </w:p>
    <w:bookmarkEnd w:id="106"/>
    <w:bookmarkStart w:name="z114" w:id="107"/>
    <w:p>
      <w:pPr>
        <w:spacing w:after="0"/>
        <w:ind w:left="0"/>
        <w:jc w:val="both"/>
      </w:pPr>
      <w:r>
        <w:rPr>
          <w:rFonts w:ascii="Times New Roman"/>
          <w:b w:val="false"/>
          <w:i w:val="false"/>
          <w:color w:val="000000"/>
          <w:sz w:val="28"/>
        </w:rPr>
        <w:t>
       (S. N. P. if any (signature)</w:t>
      </w:r>
    </w:p>
    <w:bookmarkEnd w:id="107"/>
    <w:bookmarkStart w:name="z115" w:id="108"/>
    <w:p>
      <w:pPr>
        <w:spacing w:after="0"/>
        <w:ind w:left="0"/>
        <w:jc w:val="both"/>
      </w:pPr>
      <w:r>
        <w:rPr>
          <w:rFonts w:ascii="Times New Roman"/>
          <w:b w:val="false"/>
          <w:i w:val="false"/>
          <w:color w:val="000000"/>
          <w:sz w:val="28"/>
        </w:rPr>
        <w:t>
      Date "___" ____________________ 20 ___ S. P.</w:t>
      </w:r>
    </w:p>
    <w:bookmarkEnd w:id="108"/>
    <w:bookmarkStart w:name="z116" w:id="109"/>
    <w:p>
      <w:pPr>
        <w:spacing w:after="0"/>
        <w:ind w:left="0"/>
        <w:jc w:val="both"/>
      </w:pPr>
      <w:r>
        <w:rPr>
          <w:rFonts w:ascii="Times New Roman"/>
          <w:b w:val="false"/>
          <w:i w:val="false"/>
          <w:color w:val="000000"/>
          <w:sz w:val="28"/>
        </w:rPr>
        <w:t>
      An explanation on filling out the form "Information on the number of court decisions on illegal refusal in registration of the pledge of movable property" is provided in Appendix to this form.</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Form</w:t>
            </w:r>
            <w:r>
              <w:br/>
            </w:r>
            <w:r>
              <w:rPr>
                <w:rFonts w:ascii="Times New Roman"/>
                <w:b w:val="false"/>
                <w:i w:val="false"/>
                <w:color w:val="000000"/>
                <w:sz w:val="20"/>
              </w:rPr>
              <w:t xml:space="preserve"> "Information on the number</w:t>
            </w:r>
            <w:r>
              <w:br/>
            </w:r>
            <w:r>
              <w:rPr>
                <w:rFonts w:ascii="Times New Roman"/>
                <w:b w:val="false"/>
                <w:i w:val="false"/>
                <w:color w:val="000000"/>
                <w:sz w:val="20"/>
              </w:rPr>
              <w:t xml:space="preserve"> of court decisions on illegal </w:t>
            </w:r>
            <w:r>
              <w:br/>
            </w:r>
            <w:r>
              <w:rPr>
                <w:rFonts w:ascii="Times New Roman"/>
                <w:b w:val="false"/>
                <w:i w:val="false"/>
                <w:color w:val="000000"/>
                <w:sz w:val="20"/>
              </w:rPr>
              <w:t xml:space="preserve"> refusal in registration of the </w:t>
            </w:r>
            <w:r>
              <w:br/>
            </w:r>
            <w:r>
              <w:rPr>
                <w:rFonts w:ascii="Times New Roman"/>
                <w:b w:val="false"/>
                <w:i w:val="false"/>
                <w:color w:val="000000"/>
                <w:sz w:val="20"/>
              </w:rPr>
              <w:t xml:space="preserve"> pledge of movable property"</w:t>
            </w:r>
          </w:p>
        </w:tc>
      </w:tr>
    </w:tbl>
    <w:bookmarkStart w:name="z118" w:id="110"/>
    <w:p>
      <w:pPr>
        <w:spacing w:after="0"/>
        <w:ind w:left="0"/>
        <w:jc w:val="left"/>
      </w:pPr>
      <w:r>
        <w:rPr>
          <w:rFonts w:ascii="Times New Roman"/>
          <w:b/>
          <w:i w:val="false"/>
          <w:color w:val="000000"/>
        </w:rPr>
        <w:t xml:space="preserve"> Explanation on filling out the form "Information on the number of court decisions on illegal refusal in registration of the pledge of movable property"</w:t>
      </w:r>
    </w:p>
    <w:bookmarkEnd w:id="110"/>
    <w:bookmarkStart w:name="z119" w:id="111"/>
    <w:p>
      <w:pPr>
        <w:spacing w:after="0"/>
        <w:ind w:left="0"/>
        <w:jc w:val="both"/>
      </w:pPr>
      <w:r>
        <w:rPr>
          <w:rFonts w:ascii="Times New Roman"/>
          <w:b w:val="false"/>
          <w:i w:val="false"/>
          <w:color w:val="000000"/>
          <w:sz w:val="28"/>
        </w:rPr>
        <w:t>
      Fill in the form as follows:</w:t>
      </w:r>
    </w:p>
    <w:bookmarkEnd w:id="111"/>
    <w:bookmarkStart w:name="z120" w:id="112"/>
    <w:p>
      <w:pPr>
        <w:spacing w:after="0"/>
        <w:ind w:left="0"/>
        <w:jc w:val="both"/>
      </w:pPr>
      <w:r>
        <w:rPr>
          <w:rFonts w:ascii="Times New Roman"/>
          <w:b w:val="false"/>
          <w:i w:val="false"/>
          <w:color w:val="000000"/>
          <w:sz w:val="28"/>
        </w:rPr>
        <w:t>
      Column 1 indicates the serial number;</w:t>
      </w:r>
    </w:p>
    <w:bookmarkEnd w:id="112"/>
    <w:bookmarkStart w:name="z121" w:id="113"/>
    <w:p>
      <w:pPr>
        <w:spacing w:after="0"/>
        <w:ind w:left="0"/>
        <w:jc w:val="both"/>
      </w:pPr>
      <w:r>
        <w:rPr>
          <w:rFonts w:ascii="Times New Roman"/>
          <w:b w:val="false"/>
          <w:i w:val="false"/>
          <w:color w:val="000000"/>
          <w:sz w:val="28"/>
        </w:rPr>
        <w:t>
      Column 2 indicates the name of branch of the State corporation of regions, cities of republican significance and the capital city;</w:t>
      </w:r>
    </w:p>
    <w:bookmarkEnd w:id="113"/>
    <w:bookmarkStart w:name="z122" w:id="114"/>
    <w:p>
      <w:pPr>
        <w:spacing w:after="0"/>
        <w:ind w:left="0"/>
        <w:jc w:val="both"/>
      </w:pPr>
      <w:r>
        <w:rPr>
          <w:rFonts w:ascii="Times New Roman"/>
          <w:b w:val="false"/>
          <w:i w:val="false"/>
          <w:color w:val="000000"/>
          <w:sz w:val="28"/>
        </w:rPr>
        <w:t>
      Column 3 indicates the number of court decisions on refusal in registration of the pledge of movable property due to the fault of the registering body;</w:t>
      </w:r>
    </w:p>
    <w:bookmarkEnd w:id="114"/>
    <w:bookmarkStart w:name="z123" w:id="115"/>
    <w:p>
      <w:pPr>
        <w:spacing w:after="0"/>
        <w:ind w:left="0"/>
        <w:jc w:val="both"/>
      </w:pPr>
      <w:r>
        <w:rPr>
          <w:rFonts w:ascii="Times New Roman"/>
          <w:b w:val="false"/>
          <w:i w:val="false"/>
          <w:color w:val="000000"/>
          <w:sz w:val="28"/>
        </w:rPr>
        <w:t>
      Column 4 indicates the number of court decisions made on other grounds;</w:t>
      </w:r>
    </w:p>
    <w:bookmarkEnd w:id="115"/>
    <w:bookmarkStart w:name="z124" w:id="116"/>
    <w:p>
      <w:pPr>
        <w:spacing w:after="0"/>
        <w:ind w:left="0"/>
        <w:jc w:val="both"/>
      </w:pPr>
      <w:r>
        <w:rPr>
          <w:rFonts w:ascii="Times New Roman"/>
          <w:b w:val="false"/>
          <w:i w:val="false"/>
          <w:color w:val="000000"/>
          <w:sz w:val="28"/>
        </w:rPr>
        <w:t>
      Column 5 indicates the number of court decisions that have entered into force.</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