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6120" w14:textId="cf46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Frequency of Reporting by the Special Economic Zone Managing Body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No.334 of the Deputy Prime-Minister of the Republic of Kazakhstan - the Minister of Industry and New Technologies of the Republic of Kazakhstan dated September 21, 2011. It is registered in the Ministry of Justice of the Republic of Kazakhstan on September 26, 2011, under No.7207. Expired by Order of the Acting Minister of Industry and Infrastructure Development of the Republic of Kazakhstan dated July 11, 2019 No. 500.</w:t>
      </w:r>
    </w:p>
    <w:p>
      <w:pPr>
        <w:spacing w:after="0"/>
        <w:ind w:left="0"/>
        <w:jc w:val="both"/>
      </w:pPr>
      <w:r>
        <w:rPr>
          <w:rFonts w:ascii="Times New Roman"/>
          <w:b w:val="false"/>
          <w:i w:val="false"/>
          <w:color w:val="ff0000"/>
          <w:sz w:val="28"/>
        </w:rPr>
        <w:t>
      Footnote. Expired by Order of the Acting Minister of Industry and Infrastructure Development of the Republic of Kazakhstan dated 11.07.2019 No. 500 (effective after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10) of article 5 of the Law of the Republic of Kazakhstan "On Special Economic Zones in the Republic of Kazakhstan" I hereby ORDER that:</w:t>
      </w:r>
    </w:p>
    <w:p>
      <w:pPr>
        <w:spacing w:after="0"/>
        <w:ind w:left="0"/>
        <w:jc w:val="both"/>
      </w:pPr>
      <w:r>
        <w:rPr>
          <w:rFonts w:ascii="Times New Roman"/>
          <w:b w:val="false"/>
          <w:i w:val="false"/>
          <w:color w:val="000000"/>
          <w:sz w:val="28"/>
        </w:rPr>
        <w:t>
      1. The attached Rules and Frequency of Reporting by the Special Economic Zone Managing Body shall be approved.</w:t>
      </w:r>
    </w:p>
    <w:p>
      <w:pPr>
        <w:spacing w:after="0"/>
        <w:ind w:left="0"/>
        <w:jc w:val="both"/>
      </w:pPr>
      <w:r>
        <w:rPr>
          <w:rFonts w:ascii="Times New Roman"/>
          <w:b w:val="false"/>
          <w:i w:val="false"/>
          <w:color w:val="000000"/>
          <w:sz w:val="28"/>
        </w:rPr>
        <w:t>
      2. The Investment Committee s of the Ministry of Industry and New Technologies of the Republic of Kazakhstan (A. Zh. Serikov) shall ensure the state registration of this order in the Ministry of Justice of the Republic of Kazakhstan and official publishing in the mass media as per established by the legislation procedure.</w:t>
      </w:r>
    </w:p>
    <w:p>
      <w:pPr>
        <w:spacing w:after="0"/>
        <w:ind w:left="0"/>
        <w:jc w:val="both"/>
      </w:pPr>
      <w:r>
        <w:rPr>
          <w:rFonts w:ascii="Times New Roman"/>
          <w:b w:val="false"/>
          <w:i w:val="false"/>
          <w:color w:val="000000"/>
          <w:sz w:val="28"/>
        </w:rPr>
        <w:t>
      3. Supervision over implementation of this order shall be entrusted on the First Vice-Minister of Industry and New Technologies of the Republic of Kazakhstan A.P. Rau</w:t>
      </w:r>
    </w:p>
    <w:p>
      <w:pPr>
        <w:spacing w:after="0"/>
        <w:ind w:left="0"/>
        <w:jc w:val="both"/>
      </w:pPr>
      <w:r>
        <w:rPr>
          <w:rFonts w:ascii="Times New Roman"/>
          <w:b w:val="false"/>
          <w:i w:val="false"/>
          <w:color w:val="000000"/>
          <w:sz w:val="28"/>
        </w:rPr>
        <w:t>
      4. This order shall be enforced upon expiry of 10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 of Industry and New Technologies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No. 334</w:t>
            </w:r>
            <w:r>
              <w:br/>
            </w:r>
            <w:r>
              <w:rPr>
                <w:rFonts w:ascii="Times New Roman"/>
                <w:b w:val="false"/>
                <w:i w:val="false"/>
                <w:color w:val="000000"/>
                <w:sz w:val="20"/>
              </w:rPr>
              <w:t>of the Deputy Prime-Minister</w:t>
            </w:r>
            <w:r>
              <w:br/>
            </w:r>
            <w:r>
              <w:rPr>
                <w:rFonts w:ascii="Times New Roman"/>
                <w:b w:val="false"/>
                <w:i w:val="false"/>
                <w:color w:val="000000"/>
                <w:sz w:val="20"/>
              </w:rPr>
              <w:t>of the Republic of Kazakhstan -</w:t>
            </w:r>
            <w:r>
              <w:br/>
            </w:r>
            <w:r>
              <w:rPr>
                <w:rFonts w:ascii="Times New Roman"/>
                <w:b w:val="false"/>
                <w:i w:val="false"/>
                <w:color w:val="000000"/>
                <w:sz w:val="20"/>
              </w:rPr>
              <w:t>the Minister of Industry and New</w:t>
            </w:r>
            <w:r>
              <w:br/>
            </w:r>
            <w:r>
              <w:rPr>
                <w:rFonts w:ascii="Times New Roman"/>
                <w:b w:val="false"/>
                <w:i w:val="false"/>
                <w:color w:val="000000"/>
                <w:sz w:val="20"/>
              </w:rPr>
              <w:t>Technologies of the</w:t>
            </w:r>
            <w:r>
              <w:br/>
            </w:r>
            <w:r>
              <w:rPr>
                <w:rFonts w:ascii="Times New Roman"/>
                <w:b w:val="false"/>
                <w:i w:val="false"/>
                <w:color w:val="000000"/>
                <w:sz w:val="20"/>
              </w:rPr>
              <w:t>Republic of Kazakhstan</w:t>
            </w:r>
            <w:r>
              <w:br/>
            </w:r>
            <w:r>
              <w:rPr>
                <w:rFonts w:ascii="Times New Roman"/>
                <w:b w:val="false"/>
                <w:i w:val="false"/>
                <w:color w:val="000000"/>
                <w:sz w:val="20"/>
              </w:rPr>
              <w:t>dated September 21, 2011</w:t>
            </w:r>
          </w:p>
        </w:tc>
      </w:tr>
    </w:tbl>
    <w:p>
      <w:pPr>
        <w:spacing w:after="0"/>
        <w:ind w:left="0"/>
        <w:jc w:val="left"/>
      </w:pPr>
      <w:r>
        <w:rPr>
          <w:rFonts w:ascii="Times New Roman"/>
          <w:b/>
          <w:i w:val="false"/>
          <w:color w:val="000000"/>
        </w:rPr>
        <w:t xml:space="preserve"> Rules and Frequency of Reporting by the Special Economic Zone Managing Body</w:t>
      </w:r>
    </w:p>
    <w:p>
      <w:pPr>
        <w:spacing w:after="0"/>
        <w:ind w:left="0"/>
        <w:jc w:val="both"/>
      </w:pPr>
      <w:r>
        <w:rPr>
          <w:rFonts w:ascii="Times New Roman"/>
          <w:b w:val="false"/>
          <w:i w:val="false"/>
          <w:color w:val="ff0000"/>
          <w:sz w:val="28"/>
        </w:rPr>
        <w:t>
      Reference. Rules as as amended by Order No.1292 of the Acting Minister of Investments and Development of the Republic of Kazakhstan dated December 31,2015 (shall be enforced upon expiry of 10 calendar days after its first official publication).</w:t>
      </w:r>
    </w:p>
    <w:p>
      <w:pPr>
        <w:spacing w:after="0"/>
        <w:ind w:left="0"/>
        <w:jc w:val="both"/>
      </w:pPr>
      <w:r>
        <w:rPr>
          <w:rFonts w:ascii="Times New Roman"/>
          <w:b w:val="false"/>
          <w:i w:val="false"/>
          <w:color w:val="000000"/>
          <w:sz w:val="28"/>
        </w:rPr>
        <w:t>
      1. These Rules for reporting by the Special Economic Zone Managing Body (hereinafter - the Rules) are developed in accordance with subparagraph 10) of paragraph 5 of the Law of the Republic of Kazakhstan “On Special Economic Zones in the Republic of Kazakhstan" dated July 21, 2011 and define the procedure and frequency of reporting on the results of activities carried out by the special economic zone and its participants submitted by the special economic zone managing body.</w:t>
      </w:r>
    </w:p>
    <w:p>
      <w:pPr>
        <w:spacing w:after="0"/>
        <w:ind w:left="0"/>
        <w:jc w:val="both"/>
      </w:pPr>
      <w:r>
        <w:rPr>
          <w:rFonts w:ascii="Times New Roman"/>
          <w:b w:val="false"/>
          <w:i w:val="false"/>
          <w:color w:val="000000"/>
          <w:sz w:val="28"/>
        </w:rPr>
        <w:t>
      2. Reports on the results of the activities carried out by the special economic zone and its participants shall be executed by the special economic zone managing body and submitted to the central executive body implementing state regulation in the sphere of creation, functioning and abolishment of special economic zones (hereinafter - the authorized body) and Integrated Coordination Center for Special Economic Zones in the Republic of Kazakhstan (hereinafter - the Integrated Coordination Center).</w:t>
      </w:r>
    </w:p>
    <w:p>
      <w:pPr>
        <w:spacing w:after="0"/>
        <w:ind w:left="0"/>
        <w:jc w:val="both"/>
      </w:pPr>
      <w:r>
        <w:rPr>
          <w:rFonts w:ascii="Times New Roman"/>
          <w:b w:val="false"/>
          <w:i w:val="false"/>
          <w:color w:val="000000"/>
          <w:sz w:val="28"/>
        </w:rPr>
        <w:t>
      3. The reports on the results of activities carried out by the special economic zone shall be submitted to the authorized body and the Unified Coordination Center on a quarterly basis by the 10th of each month following the reported quarter and include:</w:t>
      </w:r>
    </w:p>
    <w:p>
      <w:pPr>
        <w:spacing w:after="0"/>
        <w:ind w:left="0"/>
        <w:jc w:val="both"/>
      </w:pPr>
      <w:r>
        <w:rPr>
          <w:rFonts w:ascii="Times New Roman"/>
          <w:b w:val="false"/>
          <w:i w:val="false"/>
          <w:color w:val="000000"/>
          <w:sz w:val="28"/>
        </w:rPr>
        <w:t>
      1) information on reaching the target indicators of the special economic zone functioning approved by the President of the Republic of Kazakhstan;</w:t>
      </w:r>
    </w:p>
    <w:p>
      <w:pPr>
        <w:spacing w:after="0"/>
        <w:ind w:left="0"/>
        <w:jc w:val="both"/>
      </w:pPr>
      <w:r>
        <w:rPr>
          <w:rFonts w:ascii="Times New Roman"/>
          <w:b w:val="false"/>
          <w:i w:val="false"/>
          <w:color w:val="000000"/>
          <w:sz w:val="28"/>
        </w:rPr>
        <w:t>
      2) list of active projects with specification of:</w:t>
      </w:r>
    </w:p>
    <w:p>
      <w:pPr>
        <w:spacing w:after="0"/>
        <w:ind w:left="0"/>
        <w:jc w:val="both"/>
      </w:pPr>
      <w:r>
        <w:rPr>
          <w:rFonts w:ascii="Times New Roman"/>
          <w:b w:val="false"/>
          <w:i w:val="false"/>
          <w:color w:val="000000"/>
          <w:sz w:val="28"/>
        </w:rPr>
        <w:t>
      name of the manufactured products;</w:t>
      </w:r>
    </w:p>
    <w:p>
      <w:pPr>
        <w:spacing w:after="0"/>
        <w:ind w:left="0"/>
        <w:jc w:val="both"/>
      </w:pPr>
      <w:r>
        <w:rPr>
          <w:rFonts w:ascii="Times New Roman"/>
          <w:b w:val="false"/>
          <w:i w:val="false"/>
          <w:color w:val="000000"/>
          <w:sz w:val="28"/>
        </w:rPr>
        <w:t>
      cost of the project (million tenge);</w:t>
      </w:r>
    </w:p>
    <w:p>
      <w:pPr>
        <w:spacing w:after="0"/>
        <w:ind w:left="0"/>
        <w:jc w:val="both"/>
      </w:pPr>
      <w:r>
        <w:rPr>
          <w:rFonts w:ascii="Times New Roman"/>
          <w:b w:val="false"/>
          <w:i w:val="false"/>
          <w:color w:val="000000"/>
          <w:sz w:val="28"/>
        </w:rPr>
        <w:t>
      number of permanent jobs;</w:t>
      </w:r>
    </w:p>
    <w:p>
      <w:pPr>
        <w:spacing w:after="0"/>
        <w:ind w:left="0"/>
        <w:jc w:val="both"/>
      </w:pPr>
      <w:r>
        <w:rPr>
          <w:rFonts w:ascii="Times New Roman"/>
          <w:b w:val="false"/>
          <w:i w:val="false"/>
          <w:color w:val="000000"/>
          <w:sz w:val="28"/>
        </w:rPr>
        <w:t>
      dates of production facility commissioning;</w:t>
      </w:r>
    </w:p>
    <w:p>
      <w:pPr>
        <w:spacing w:after="0"/>
        <w:ind w:left="0"/>
        <w:jc w:val="both"/>
      </w:pPr>
      <w:r>
        <w:rPr>
          <w:rFonts w:ascii="Times New Roman"/>
          <w:b w:val="false"/>
          <w:i w:val="false"/>
          <w:color w:val="000000"/>
          <w:sz w:val="28"/>
        </w:rPr>
        <w:t>
      the plot occupied (hectare);</w:t>
      </w:r>
    </w:p>
    <w:p>
      <w:pPr>
        <w:spacing w:after="0"/>
        <w:ind w:left="0"/>
        <w:jc w:val="both"/>
      </w:pPr>
      <w:r>
        <w:rPr>
          <w:rFonts w:ascii="Times New Roman"/>
          <w:b w:val="false"/>
          <w:i w:val="false"/>
          <w:color w:val="000000"/>
          <w:sz w:val="28"/>
        </w:rPr>
        <w:t>
      total volume of the project production (in physical and monetary terms);</w:t>
      </w:r>
    </w:p>
    <w:p>
      <w:pPr>
        <w:spacing w:after="0"/>
        <w:ind w:left="0"/>
        <w:jc w:val="both"/>
      </w:pPr>
      <w:r>
        <w:rPr>
          <w:rFonts w:ascii="Times New Roman"/>
          <w:b w:val="false"/>
          <w:i w:val="false"/>
          <w:color w:val="000000"/>
          <w:sz w:val="28"/>
        </w:rPr>
        <w:t>
      current share (in percentage terms) of production in the project capacity;</w:t>
      </w:r>
    </w:p>
    <w:p>
      <w:pPr>
        <w:spacing w:after="0"/>
        <w:ind w:left="0"/>
        <w:jc w:val="both"/>
      </w:pPr>
      <w:r>
        <w:rPr>
          <w:rFonts w:ascii="Times New Roman"/>
          <w:b w:val="false"/>
          <w:i w:val="false"/>
          <w:color w:val="000000"/>
          <w:sz w:val="28"/>
        </w:rPr>
        <w:t>
      foreign participation in the project with specification of share (if applicable);</w:t>
      </w:r>
    </w:p>
    <w:p>
      <w:pPr>
        <w:spacing w:after="0"/>
        <w:ind w:left="0"/>
        <w:jc w:val="both"/>
      </w:pPr>
      <w:r>
        <w:rPr>
          <w:rFonts w:ascii="Times New Roman"/>
          <w:b w:val="false"/>
          <w:i w:val="false"/>
          <w:color w:val="000000"/>
          <w:sz w:val="28"/>
        </w:rPr>
        <w:t>
      3) list of projects in the implementation phase with specification of:</w:t>
      </w:r>
    </w:p>
    <w:p>
      <w:pPr>
        <w:spacing w:after="0"/>
        <w:ind w:left="0"/>
        <w:jc w:val="both"/>
      </w:pPr>
      <w:r>
        <w:rPr>
          <w:rFonts w:ascii="Times New Roman"/>
          <w:b w:val="false"/>
          <w:i w:val="false"/>
          <w:color w:val="000000"/>
          <w:sz w:val="28"/>
        </w:rPr>
        <w:t>
      name of the manufactured products;</w:t>
      </w:r>
    </w:p>
    <w:p>
      <w:pPr>
        <w:spacing w:after="0"/>
        <w:ind w:left="0"/>
        <w:jc w:val="both"/>
      </w:pPr>
      <w:r>
        <w:rPr>
          <w:rFonts w:ascii="Times New Roman"/>
          <w:b w:val="false"/>
          <w:i w:val="false"/>
          <w:color w:val="000000"/>
          <w:sz w:val="28"/>
        </w:rPr>
        <w:t>
      cost of the project (million tenge);</w:t>
      </w:r>
    </w:p>
    <w:p>
      <w:pPr>
        <w:spacing w:after="0"/>
        <w:ind w:left="0"/>
        <w:jc w:val="both"/>
      </w:pPr>
      <w:r>
        <w:rPr>
          <w:rFonts w:ascii="Times New Roman"/>
          <w:b w:val="false"/>
          <w:i w:val="false"/>
          <w:color w:val="000000"/>
          <w:sz w:val="28"/>
        </w:rPr>
        <w:t>
      number of jobs (during the construction period and operation period of);</w:t>
      </w:r>
    </w:p>
    <w:p>
      <w:pPr>
        <w:spacing w:after="0"/>
        <w:ind w:left="0"/>
        <w:jc w:val="both"/>
      </w:pPr>
      <w:r>
        <w:rPr>
          <w:rFonts w:ascii="Times New Roman"/>
          <w:b w:val="false"/>
          <w:i w:val="false"/>
          <w:color w:val="000000"/>
          <w:sz w:val="28"/>
        </w:rPr>
        <w:t>
      terms of project implementation ( commencement of construction and the end expected commissioning date);</w:t>
      </w:r>
    </w:p>
    <w:p>
      <w:pPr>
        <w:spacing w:after="0"/>
        <w:ind w:left="0"/>
        <w:jc w:val="both"/>
      </w:pPr>
      <w:r>
        <w:rPr>
          <w:rFonts w:ascii="Times New Roman"/>
          <w:b w:val="false"/>
          <w:i w:val="false"/>
          <w:color w:val="000000"/>
          <w:sz w:val="28"/>
        </w:rPr>
        <w:t>
      the plot occupied (hectare);</w:t>
      </w:r>
    </w:p>
    <w:p>
      <w:pPr>
        <w:spacing w:after="0"/>
        <w:ind w:left="0"/>
        <w:jc w:val="both"/>
      </w:pPr>
      <w:r>
        <w:rPr>
          <w:rFonts w:ascii="Times New Roman"/>
          <w:b w:val="false"/>
          <w:i w:val="false"/>
          <w:color w:val="000000"/>
          <w:sz w:val="28"/>
        </w:rPr>
        <w:t>
      expected production volume (in physical terms);</w:t>
      </w:r>
    </w:p>
    <w:p>
      <w:pPr>
        <w:spacing w:after="0"/>
        <w:ind w:left="0"/>
        <w:jc w:val="both"/>
      </w:pPr>
      <w:r>
        <w:rPr>
          <w:rFonts w:ascii="Times New Roman"/>
          <w:b w:val="false"/>
          <w:i w:val="false"/>
          <w:color w:val="000000"/>
          <w:sz w:val="28"/>
        </w:rPr>
        <w:t>
      foreign participation in the project with specification of share (if applicable);</w:t>
      </w:r>
    </w:p>
    <w:p>
      <w:pPr>
        <w:spacing w:after="0"/>
        <w:ind w:left="0"/>
        <w:jc w:val="both"/>
      </w:pPr>
      <w:r>
        <w:rPr>
          <w:rFonts w:ascii="Times New Roman"/>
          <w:b w:val="false"/>
          <w:i w:val="false"/>
          <w:color w:val="000000"/>
          <w:sz w:val="28"/>
        </w:rPr>
        <w:t>
      the current project status (construction stage, breach of construction deadlines, financing issues and other data associated with the project implementation);</w:t>
      </w:r>
    </w:p>
    <w:p>
      <w:pPr>
        <w:spacing w:after="0"/>
        <w:ind w:left="0"/>
        <w:jc w:val="both"/>
      </w:pPr>
      <w:r>
        <w:rPr>
          <w:rFonts w:ascii="Times New Roman"/>
          <w:b w:val="false"/>
          <w:i w:val="false"/>
          <w:color w:val="000000"/>
          <w:sz w:val="28"/>
        </w:rPr>
        <w:t>
      4) allocation of budget funds (specify budget program (national and (or) local budget) and administrator) and their actual utilization (breakdown per built and under construction facilities), including:</w:t>
      </w:r>
    </w:p>
    <w:p>
      <w:pPr>
        <w:spacing w:after="0"/>
        <w:ind w:left="0"/>
        <w:jc w:val="both"/>
      </w:pPr>
      <w:r>
        <w:rPr>
          <w:rFonts w:ascii="Times New Roman"/>
          <w:b w:val="false"/>
          <w:i w:val="false"/>
          <w:color w:val="000000"/>
          <w:sz w:val="28"/>
        </w:rPr>
        <w:t>
      name and cost of the infrastructure object in KZT thousand, electricity transmission lines, administrative facilities, roads and other details;</w:t>
      </w:r>
    </w:p>
    <w:p>
      <w:pPr>
        <w:spacing w:after="0"/>
        <w:ind w:left="0"/>
        <w:jc w:val="both"/>
      </w:pPr>
      <w:r>
        <w:rPr>
          <w:rFonts w:ascii="Times New Roman"/>
          <w:b w:val="false"/>
          <w:i w:val="false"/>
          <w:color w:val="000000"/>
          <w:sz w:val="28"/>
        </w:rPr>
        <w:t>
      project to be financed (specify the capacity, technical properties of the infrastructure object (kWatt, cubic meters and other details concerning the project implementation);</w:t>
      </w:r>
    </w:p>
    <w:p>
      <w:pPr>
        <w:spacing w:after="0"/>
        <w:ind w:left="0"/>
        <w:jc w:val="both"/>
      </w:pPr>
      <w:r>
        <w:rPr>
          <w:rFonts w:ascii="Times New Roman"/>
          <w:b w:val="false"/>
          <w:i w:val="false"/>
          <w:color w:val="000000"/>
          <w:sz w:val="28"/>
        </w:rPr>
        <w:t>
      construction stage (feasibility study, design estimate documentation, construction and installation works);</w:t>
      </w:r>
    </w:p>
    <w:p>
      <w:pPr>
        <w:spacing w:after="0"/>
        <w:ind w:left="0"/>
        <w:jc w:val="both"/>
      </w:pPr>
      <w:r>
        <w:rPr>
          <w:rFonts w:ascii="Times New Roman"/>
          <w:b w:val="false"/>
          <w:i w:val="false"/>
          <w:color w:val="000000"/>
          <w:sz w:val="28"/>
        </w:rPr>
        <w:t>
      area of the plot allocated for infrastructure;</w:t>
      </w:r>
    </w:p>
    <w:p>
      <w:pPr>
        <w:spacing w:after="0"/>
        <w:ind w:left="0"/>
        <w:jc w:val="both"/>
      </w:pPr>
      <w:r>
        <w:rPr>
          <w:rFonts w:ascii="Times New Roman"/>
          <w:b w:val="false"/>
          <w:i w:val="false"/>
          <w:color w:val="000000"/>
          <w:sz w:val="28"/>
        </w:rPr>
        <w:t>
      readiness of the infrastructure (in percentage terms as well);</w:t>
      </w:r>
    </w:p>
    <w:p>
      <w:pPr>
        <w:spacing w:after="0"/>
        <w:ind w:left="0"/>
        <w:jc w:val="both"/>
      </w:pPr>
      <w:r>
        <w:rPr>
          <w:rFonts w:ascii="Times New Roman"/>
          <w:b w:val="false"/>
          <w:i w:val="false"/>
          <w:color w:val="000000"/>
          <w:sz w:val="28"/>
        </w:rPr>
        <w:t>
      date of commissioning as per the construction schedule;</w:t>
      </w:r>
    </w:p>
    <w:p>
      <w:pPr>
        <w:spacing w:after="0"/>
        <w:ind w:left="0"/>
        <w:jc w:val="both"/>
      </w:pPr>
      <w:r>
        <w:rPr>
          <w:rFonts w:ascii="Times New Roman"/>
          <w:b w:val="false"/>
          <w:i w:val="false"/>
          <w:color w:val="000000"/>
          <w:sz w:val="28"/>
        </w:rPr>
        <w:t>
      infrastructure balance holder;</w:t>
      </w:r>
    </w:p>
    <w:p>
      <w:pPr>
        <w:spacing w:after="0"/>
        <w:ind w:left="0"/>
        <w:jc w:val="both"/>
      </w:pPr>
      <w:r>
        <w:rPr>
          <w:rFonts w:ascii="Times New Roman"/>
          <w:b w:val="false"/>
          <w:i w:val="false"/>
          <w:color w:val="000000"/>
          <w:sz w:val="28"/>
        </w:rPr>
        <w:t>
      total expected investments into infrastructure in KZT thousand for a three-year period (breakdown per years);</w:t>
      </w:r>
    </w:p>
    <w:p>
      <w:pPr>
        <w:spacing w:after="0"/>
        <w:ind w:left="0"/>
        <w:jc w:val="both"/>
      </w:pPr>
      <w:r>
        <w:rPr>
          <w:rFonts w:ascii="Times New Roman"/>
          <w:b w:val="false"/>
          <w:i w:val="false"/>
          <w:color w:val="000000"/>
          <w:sz w:val="28"/>
        </w:rPr>
        <w:t>
      5) specification of the sources and methods of collection as well as the methods applied to process and analyze the information;</w:t>
      </w:r>
    </w:p>
    <w:p>
      <w:pPr>
        <w:spacing w:after="0"/>
        <w:ind w:left="0"/>
        <w:jc w:val="both"/>
      </w:pPr>
      <w:r>
        <w:rPr>
          <w:rFonts w:ascii="Times New Roman"/>
          <w:b w:val="false"/>
          <w:i w:val="false"/>
          <w:color w:val="000000"/>
          <w:sz w:val="28"/>
        </w:rPr>
        <w:t>
      6) monitoring of performance of the agreements on activities carrying out as a participant of the special economic zone;</w:t>
      </w:r>
    </w:p>
    <w:p>
      <w:pPr>
        <w:spacing w:after="0"/>
        <w:ind w:left="0"/>
        <w:jc w:val="both"/>
      </w:pPr>
      <w:r>
        <w:rPr>
          <w:rFonts w:ascii="Times New Roman"/>
          <w:b w:val="false"/>
          <w:i w:val="false"/>
          <w:color w:val="000000"/>
          <w:sz w:val="28"/>
        </w:rPr>
        <w:t>
      7) recommendations on improving the special economic zone activities.</w:t>
      </w:r>
    </w:p>
    <w:p>
      <w:pPr>
        <w:spacing w:after="0"/>
        <w:ind w:left="0"/>
        <w:jc w:val="both"/>
      </w:pPr>
      <w:r>
        <w:rPr>
          <w:rFonts w:ascii="Times New Roman"/>
          <w:b w:val="false"/>
          <w:i w:val="false"/>
          <w:color w:val="000000"/>
          <w:sz w:val="28"/>
        </w:rPr>
        <w:t>
      4. Reports on the results of the activities carried out by the special economic zone participants shall be submitted to the authorized body and the Unified Coordination Center annually by the 10th of the month following the reported year and include data associated with the activities of the special economic zone participants:</w:t>
      </w:r>
    </w:p>
    <w:p>
      <w:pPr>
        <w:spacing w:after="0"/>
        <w:ind w:left="0"/>
        <w:jc w:val="both"/>
      </w:pPr>
      <w:r>
        <w:rPr>
          <w:rFonts w:ascii="Times New Roman"/>
          <w:b w:val="false"/>
          <w:i w:val="false"/>
          <w:color w:val="000000"/>
          <w:sz w:val="28"/>
        </w:rPr>
        <w:t>
      1) volume of the actually invested funds including those from foreign sources (billion tenge);</w:t>
      </w:r>
    </w:p>
    <w:p>
      <w:pPr>
        <w:spacing w:after="0"/>
        <w:ind w:left="0"/>
        <w:jc w:val="both"/>
      </w:pPr>
      <w:r>
        <w:rPr>
          <w:rFonts w:ascii="Times New Roman"/>
          <w:b w:val="false"/>
          <w:i w:val="false"/>
          <w:color w:val="000000"/>
          <w:sz w:val="28"/>
        </w:rPr>
        <w:t>
      2) volume of production of goods and services (works) (KZT billion);</w:t>
      </w:r>
    </w:p>
    <w:p>
      <w:pPr>
        <w:spacing w:after="0"/>
        <w:ind w:left="0"/>
        <w:jc w:val="both"/>
      </w:pPr>
      <w:r>
        <w:rPr>
          <w:rFonts w:ascii="Times New Roman"/>
          <w:b w:val="false"/>
          <w:i w:val="false"/>
          <w:color w:val="000000"/>
          <w:sz w:val="28"/>
        </w:rPr>
        <w:t>
      3) number of permanent jobs;</w:t>
      </w:r>
    </w:p>
    <w:p>
      <w:pPr>
        <w:spacing w:after="0"/>
        <w:ind w:left="0"/>
        <w:jc w:val="both"/>
      </w:pPr>
      <w:r>
        <w:rPr>
          <w:rFonts w:ascii="Times New Roman"/>
          <w:b w:val="false"/>
          <w:i w:val="false"/>
          <w:color w:val="000000"/>
          <w:sz w:val="28"/>
        </w:rPr>
        <w:t>
      4) volume of investments into non-resource-based export oriented and high-tech manufacturing (KZT billion);</w:t>
      </w:r>
    </w:p>
    <w:p>
      <w:pPr>
        <w:spacing w:after="0"/>
        <w:ind w:left="0"/>
        <w:jc w:val="both"/>
      </w:pPr>
      <w:r>
        <w:rPr>
          <w:rFonts w:ascii="Times New Roman"/>
          <w:b w:val="false"/>
          <w:i w:val="false"/>
          <w:color w:val="000000"/>
          <w:sz w:val="28"/>
        </w:rPr>
        <w:t>
      5) export share in the total production volume.</w:t>
      </w:r>
    </w:p>
    <w:p>
      <w:pPr>
        <w:spacing w:after="0"/>
        <w:ind w:left="0"/>
        <w:jc w:val="both"/>
      </w:pPr>
      <w:r>
        <w:rPr>
          <w:rFonts w:ascii="Times New Roman"/>
          <w:b w:val="false"/>
          <w:i w:val="false"/>
          <w:color w:val="000000"/>
          <w:sz w:val="28"/>
        </w:rPr>
        <w:t>
      5. In case of incomplete report submission, the authorized body and (or) the Unified Coordination Center shall return the reports to the special economic zone managing body with comments within three business days after receiving the reports. The special economic zone managing body shall return the revised reports within five business days after receiving the comments from the authorized body and (or) the Unified Coordination Center.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