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32e5" w14:textId="2773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issuing authorization documents in the field of control of specific goods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 1083.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Resolution of the Government of the Republic of Kazakhstan dated 28.07.2023 № 616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10 of the Law of the Republic of Kazakhstan “On Permits and Notifications”,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28.07.2023 № 616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appoint:</w:t>
      </w:r>
    </w:p>
    <w:p>
      <w:pPr>
        <w:spacing w:after="0"/>
        <w:ind w:left="0"/>
        <w:jc w:val="both"/>
      </w:pPr>
      <w:r>
        <w:rPr>
          <w:rFonts w:ascii="Times New Roman"/>
          <w:b w:val="false"/>
          <w:i w:val="false"/>
          <w:color w:val="000000"/>
          <w:sz w:val="28"/>
        </w:rPr>
        <w:t>
      1) The Committee for Industrial Development of the Ministry of Industry and Infrastructure Development of the Republic of Kazakhstan:</w:t>
      </w:r>
    </w:p>
    <w:p>
      <w:pPr>
        <w:spacing w:after="0"/>
        <w:ind w:left="0"/>
        <w:jc w:val="both"/>
      </w:pPr>
      <w:r>
        <w:rPr>
          <w:rFonts w:ascii="Times New Roman"/>
          <w:b w:val="false"/>
          <w:i w:val="false"/>
          <w:color w:val="000000"/>
          <w:sz w:val="28"/>
        </w:rPr>
        <w:t>
      as licensor for the export and import of specific goods;</w:t>
      </w:r>
    </w:p>
    <w:p>
      <w:pPr>
        <w:spacing w:after="0"/>
        <w:ind w:left="0"/>
        <w:jc w:val="both"/>
      </w:pPr>
      <w:r>
        <w:rPr>
          <w:rFonts w:ascii="Times New Roman"/>
          <w:b w:val="false"/>
          <w:i w:val="false"/>
          <w:color w:val="000000"/>
          <w:sz w:val="28"/>
        </w:rPr>
        <w:t>
      the body authorized to issue permits for the transit of specific goods, provide extraterritorial intermediary services or technical assistance, extraterritorial re-export, transfer to third parties on the territory of the Republic of Kazakhstan of imported specific goods, as well as goods imported with the provision of warranty obligations, an end-user certificate of the Republic of Kazakhstan, international import certificate of the Republic of Kazakhstan, conclusion on identification of specific goods;</w:t>
      </w:r>
    </w:p>
    <w:p>
      <w:pPr>
        <w:spacing w:after="0"/>
        <w:ind w:left="0"/>
        <w:jc w:val="both"/>
      </w:pPr>
      <w:r>
        <w:rPr>
          <w:rFonts w:ascii="Times New Roman"/>
          <w:b w:val="false"/>
          <w:i w:val="false"/>
          <w:color w:val="000000"/>
          <w:sz w:val="28"/>
        </w:rPr>
        <w:t>
      2) state bodies coordinating the issuance of licenses for the export and import of specific goods, permits for the provision of extraterritorial intermediary services or technical assistance, extraterritorial re-export, transfer to third parties on the territory of the Republic of Kazakhstan of imported specific goods, as well as goods imported with the provision of warranty obligations, conclusions on identification of specific goods, in accordance with Appendix 1 to this resolution;</w:t>
      </w:r>
    </w:p>
    <w:p>
      <w:pPr>
        <w:spacing w:after="0"/>
        <w:ind w:left="0"/>
        <w:jc w:val="both"/>
      </w:pPr>
      <w:r>
        <w:rPr>
          <w:rFonts w:ascii="Times New Roman"/>
          <w:b w:val="false"/>
          <w:i w:val="false"/>
          <w:color w:val="000000"/>
          <w:sz w:val="28"/>
        </w:rPr>
        <w:t>
      3) state bodies coordinating the issuance of permits for the transit of specific goods, in accordance with Appendix 2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28.07.2023 № 616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Terminated by the Resolution of the Government of the Republic of Kazakhstan dated 14.07.2023 № 592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Resolution shall come into effect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 1083</w:t>
            </w:r>
          </w:p>
        </w:tc>
      </w:tr>
    </w:tbl>
    <w:bookmarkStart w:name="z16" w:id="0"/>
    <w:p>
      <w:pPr>
        <w:spacing w:after="0"/>
        <w:ind w:left="0"/>
        <w:jc w:val="left"/>
      </w:pPr>
      <w:r>
        <w:rPr>
          <w:rFonts w:ascii="Times New Roman"/>
          <w:b/>
          <w:i w:val="false"/>
          <w:color w:val="000000"/>
        </w:rPr>
        <w:t xml:space="preserve"> State bodies coordinating the issuance of licenses for export and import of specific goods, </w:t>
      </w:r>
      <w:r>
        <w:br/>
      </w:r>
      <w:r>
        <w:rPr>
          <w:rFonts w:ascii="Times New Roman"/>
          <w:b/>
          <w:i w:val="false"/>
          <w:color w:val="000000"/>
        </w:rPr>
        <w:t xml:space="preserve">permits for extraterritorial intermediary services or technical assistance, extraterritorial re-export, </w:t>
      </w:r>
      <w:r>
        <w:br/>
      </w:r>
      <w:r>
        <w:rPr>
          <w:rFonts w:ascii="Times New Roman"/>
          <w:b/>
          <w:i w:val="false"/>
          <w:color w:val="000000"/>
        </w:rPr>
        <w:t xml:space="preserve">transfer to third parties on the territory of the Republic of Kazakhstan of imported specific goods, </w:t>
      </w:r>
      <w:r>
        <w:br/>
      </w:r>
      <w:r>
        <w:rPr>
          <w:rFonts w:ascii="Times New Roman"/>
          <w:b/>
          <w:i w:val="false"/>
          <w:color w:val="000000"/>
        </w:rPr>
        <w:t xml:space="preserve">as well as goods imported with the provision of warranty obligations, </w:t>
      </w:r>
      <w:r>
        <w:br/>
      </w:r>
      <w:r>
        <w:rPr>
          <w:rFonts w:ascii="Times New Roman"/>
          <w:b/>
          <w:i w:val="false"/>
          <w:color w:val="000000"/>
        </w:rPr>
        <w:t>conclusions on identification of specific goods</w:t>
      </w:r>
    </w:p>
    <w:bookmarkEnd w:id="0"/>
    <w:p>
      <w:pPr>
        <w:spacing w:after="0"/>
        <w:ind w:left="0"/>
        <w:jc w:val="both"/>
      </w:pPr>
      <w:r>
        <w:rPr>
          <w:rFonts w:ascii="Times New Roman"/>
          <w:b w:val="false"/>
          <w:i w:val="false"/>
          <w:color w:val="ff0000"/>
          <w:sz w:val="28"/>
        </w:rPr>
        <w:t xml:space="preserve">
      Footnote. Appendix 1 - as amended by the Resolution of the Government of the Republic of Kazakhstan dated 28.07.2023 № 616 (shall be enforced ten calendar days after the date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specific goods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goods according to the EEU HS subject to licensing for export, issuance of permits for extraterritorial re-exports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goods according to the EEU HS subject to licensing for import, issuance of permits for extraterritorial intermediary services or technical assistance, transfer to third parties in the territory of the Republic of Kazakhstan of imported specific goods, as well as goods imported with the provision of warranty obligations, conclusions on identification of specific 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bodies of the Republic of Kazakhstan coordinating issuance of import (export) licenses and permits for extraterritorial intermediary services or technical assistance, extraterritorial re-export, transfer of goods to third parties on the territory of the Republic of Kazakhstan, as well as goods imported with provision of warranty obligations, conclusions on identification of specific goods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goods in accordance with the </w:t>
            </w:r>
            <w:r>
              <w:rPr>
                <w:rFonts w:ascii="Times New Roman"/>
                <w:b w:val="false"/>
                <w:i w:val="false"/>
                <w:color w:val="000000"/>
                <w:sz w:val="20"/>
                <w:u w:val="single"/>
              </w:rPr>
              <w:t>Order</w:t>
            </w:r>
            <w:r>
              <w:rPr>
                <w:rFonts w:ascii="Times New Roman"/>
                <w:b w:val="false"/>
                <w:i w:val="false"/>
                <w:color w:val="000000"/>
                <w:sz w:val="20"/>
              </w:rPr>
              <w:t xml:space="preserve"> of the Minister of Industry and Infrastructure Development of the Republic of Kazakhstan dated June 9, 2023 № 424 "On Approval of the Checklist of Specific Goods" (registered in the Register of State Registration of Regulatory Legal Acts under № 32767):</w:t>
            </w:r>
          </w:p>
          <w:p>
            <w:pPr>
              <w:spacing w:after="20"/>
              <w:ind w:left="20"/>
              <w:jc w:val="both"/>
            </w:pPr>
            <w:r>
              <w:rPr>
                <w:rFonts w:ascii="Times New Roman"/>
                <w:b w:val="false"/>
                <w:i w:val="false"/>
                <w:color w:val="000000"/>
                <w:sz w:val="20"/>
              </w:rPr>
              <w:t>
goods and technologies of military application (purpose)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goods in accordance with the </w:t>
            </w:r>
            <w:r>
              <w:rPr>
                <w:rFonts w:ascii="Times New Roman"/>
                <w:b w:val="false"/>
                <w:i w:val="false"/>
                <w:color w:val="000000"/>
                <w:sz w:val="20"/>
                <w:u w:val="single"/>
              </w:rPr>
              <w:t>Order</w:t>
            </w:r>
            <w:r>
              <w:rPr>
                <w:rFonts w:ascii="Times New Roman"/>
                <w:b w:val="false"/>
                <w:i w:val="false"/>
                <w:color w:val="000000"/>
                <w:sz w:val="20"/>
              </w:rPr>
              <w:t xml:space="preserve"> of the Minister of Industry and Infrastructure Development of the Republic of Kazakhstan dated June 9, 2023 № 424 "On Approval of the Checklist of Specific Goods": </w:t>
            </w:r>
          </w:p>
          <w:p>
            <w:pPr>
              <w:spacing w:after="20"/>
              <w:ind w:left="20"/>
              <w:jc w:val="both"/>
            </w:pPr>
            <w:r>
              <w:rPr>
                <w:rFonts w:ascii="Times New Roman"/>
                <w:b w:val="false"/>
                <w:i w:val="false"/>
                <w:color w:val="000000"/>
                <w:sz w:val="20"/>
              </w:rPr>
              <w:t>
products under category 0, products under categories 1-9, having reference 200-299 ("Nuclear Suppliers Group") of the Infrastructure Development of the Republic of Kazakhstan dated June 9, 2023 № 424 "On approval of the checklist of specific goods":</w:t>
            </w:r>
          </w:p>
          <w:p>
            <w:pPr>
              <w:spacing w:after="20"/>
              <w:ind w:left="20"/>
              <w:jc w:val="both"/>
            </w:pPr>
            <w:r>
              <w:rPr>
                <w:rFonts w:ascii="Times New Roman"/>
                <w:b w:val="false"/>
                <w:i w:val="false"/>
                <w:color w:val="000000"/>
                <w:sz w:val="20"/>
              </w:rPr>
              <w:t>
products under category 0, products under categories 1-9 having reference 200-299 ("Nuclear Suppliers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Radionuclide sources, radioactive substances, isotopes and their compounds or any other material containing any of the above, having radiation characteristics exceeding the exemption levels stipulated by hygienic standards, technical regulations*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"Depleted uranium" specially manufactured for civilian non-nuclear purposes:</w:t>
            </w:r>
          </w:p>
          <w:p>
            <w:pPr>
              <w:spacing w:after="20"/>
              <w:ind w:left="20"/>
              <w:jc w:val="both"/>
            </w:pPr>
            <w:r>
              <w:rPr>
                <w:rFonts w:ascii="Times New Roman"/>
                <w:b w:val="false"/>
                <w:i w:val="false"/>
                <w:color w:val="000000"/>
                <w:sz w:val="20"/>
              </w:rPr>
              <w:t>
1)shielding;</w:t>
            </w:r>
          </w:p>
          <w:p>
            <w:pPr>
              <w:spacing w:after="20"/>
              <w:ind w:left="20"/>
              <w:jc w:val="both"/>
            </w:pPr>
            <w:r>
              <w:rPr>
                <w:rFonts w:ascii="Times New Roman"/>
                <w:b w:val="false"/>
                <w:i w:val="false"/>
                <w:color w:val="000000"/>
                <w:sz w:val="20"/>
              </w:rPr>
              <w:t>
2) packaging;</w:t>
            </w:r>
          </w:p>
          <w:p>
            <w:pPr>
              <w:spacing w:after="20"/>
              <w:ind w:left="20"/>
              <w:jc w:val="both"/>
            </w:pPr>
            <w:r>
              <w:rPr>
                <w:rFonts w:ascii="Times New Roman"/>
                <w:b w:val="false"/>
                <w:i w:val="false"/>
                <w:color w:val="000000"/>
                <w:sz w:val="20"/>
              </w:rPr>
              <w:t>
3) ballasts;</w:t>
            </w:r>
          </w:p>
          <w:p>
            <w:pPr>
              <w:spacing w:after="20"/>
              <w:ind w:left="20"/>
              <w:jc w:val="both"/>
            </w:pPr>
            <w:r>
              <w:rPr>
                <w:rFonts w:ascii="Times New Roman"/>
                <w:b w:val="false"/>
                <w:i w:val="false"/>
                <w:color w:val="000000"/>
                <w:sz w:val="20"/>
              </w:rPr>
              <w:t>
4) counterweights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Anti-radiation lead-coated containers for transportation or storage of radioactive materials containing "depleted uranium" as shielding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devices, installations or equipment (stationary and mobile, medical and non-medical) with "depleted uranium" shielding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  Committee for Sanitary and Epidemiological Control of the Ministry of Health of the Republic of Kazakhstan (only when importing medical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Radioisotope devices, installations or equipment (stationary and mobile, medical and non-medical) containing radionuclide sources, radioactive substances, isotopes and their compounds or any other material containing any of the above, the radiation characteristics of which exceed the exemption levels stipulated in hygienic standards, technical regulations*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excluding radioisotope instruments, installations or equipment (fixed and mobile), not containing radionuclide sources, radioactive substances, isotopes and their compounds or any other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excluding radioisotope instruments, installations or equipment (fixed and mobile), not containing radionuclide sources, radioactive substances, isotopes and their compounds or any other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Atomic and Energy Supervision and Control of the Ministry of Energy of the Republic of Kazakhstan,  Committee for Sanitary and Epidemiological Control of the Ministry of Health of the Republic of Kazakhstan (only when importing medical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Electrophysical apparatus or devices emitting or capable of emitting ionizing radiation (stationary and mobile): X-ray equipment, medical and non-medical, accelerators, including cyclotrons, and other generators ionizing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re-export authorization documents are not required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(x-ray vehicles only);</w:t>
            </w:r>
          </w:p>
          <w:p>
            <w:pPr>
              <w:spacing w:after="20"/>
              <w:ind w:left="20"/>
              <w:jc w:val="both"/>
            </w:pPr>
            <w:r>
              <w:rPr>
                <w:rFonts w:ascii="Times New Roman"/>
                <w:b w:val="false"/>
                <w:i w:val="false"/>
                <w:color w:val="000000"/>
                <w:sz w:val="20"/>
              </w:rPr>
              <w:t>
9022,</w:t>
            </w:r>
          </w:p>
          <w:p>
            <w:pPr>
              <w:spacing w:after="20"/>
              <w:ind w:left="20"/>
              <w:jc w:val="both"/>
            </w:pPr>
            <w:r>
              <w:rPr>
                <w:rFonts w:ascii="Times New Roman"/>
                <w:b w:val="false"/>
                <w:i w:val="false"/>
                <w:color w:val="000000"/>
                <w:sz w:val="20"/>
              </w:rPr>
              <w:t>
except imports of spare parts and accessories for X-ray equipment (high-voltage generators, X-ray tubes, control panels and consoles, screens, tables, chairs and similar articles for examination or treatment, as well as consumables)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of Atomic and Energy Supervision and Control of the Ministry of Energy of the Republic of Kazakhstan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goods in accordance with the </w:t>
            </w:r>
            <w:r>
              <w:rPr>
                <w:rFonts w:ascii="Times New Roman"/>
                <w:b w:val="false"/>
                <w:i w:val="false"/>
                <w:color w:val="000000"/>
                <w:sz w:val="20"/>
                <w:u w:val="single"/>
              </w:rPr>
              <w:t>Order</w:t>
            </w:r>
            <w:r>
              <w:rPr>
                <w:rFonts w:ascii="Times New Roman"/>
                <w:b w:val="false"/>
                <w:i w:val="false"/>
                <w:color w:val="000000"/>
                <w:sz w:val="20"/>
              </w:rPr>
              <w:t xml:space="preserve"> of the Minister of Industry and Infrastructure Development of the Republic of Kazakhstan dated June 9, 2023 № 424 "On Approval of the Checklist of Specific Goods" (registered in the Register of the State Registration of Regulatory Legal Acts under № 32767):</w:t>
            </w:r>
          </w:p>
          <w:p>
            <w:pPr>
              <w:spacing w:after="20"/>
              <w:ind w:left="20"/>
              <w:jc w:val="both"/>
            </w:pPr>
            <w:r>
              <w:rPr>
                <w:rFonts w:ascii="Times New Roman"/>
                <w:b w:val="false"/>
                <w:i w:val="false"/>
                <w:color w:val="000000"/>
                <w:sz w:val="20"/>
              </w:rPr>
              <w:t>
Category 1 products - "Materials, Chemicals", "Microorganisms" and "Toxins"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Science and Higher Education of the Republic of Kazakhstan, Committee for Sanitary and Epidemiological Control of the Ministry of Health of the Republic of Kazakhstan, Ministry of Agriculture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goods in accordance with the </w:t>
            </w:r>
            <w:r>
              <w:rPr>
                <w:rFonts w:ascii="Times New Roman"/>
                <w:b w:val="false"/>
                <w:i w:val="false"/>
                <w:color w:val="000000"/>
                <w:sz w:val="20"/>
                <w:u w:val="single"/>
              </w:rPr>
              <w:t>Order</w:t>
            </w:r>
            <w:r>
              <w:rPr>
                <w:rFonts w:ascii="Times New Roman"/>
                <w:b w:val="false"/>
                <w:i w:val="false"/>
                <w:color w:val="000000"/>
                <w:sz w:val="20"/>
              </w:rPr>
              <w:t xml:space="preserve"> of the Minister of Industry and Infrastructure Development of the Republic of Kazakhstan dated June 9, 2023 № 424 "On Approval of the Checklist of Specific Goods" (registered in the Register of the State Registration of Regulatory Legal Acts under № 32767):</w:t>
            </w:r>
          </w:p>
          <w:p>
            <w:pPr>
              <w:spacing w:after="20"/>
              <w:ind w:left="20"/>
              <w:jc w:val="both"/>
            </w:pPr>
            <w:r>
              <w:rPr>
                <w:rFonts w:ascii="Times New Roman"/>
                <w:b w:val="false"/>
                <w:i w:val="false"/>
                <w:color w:val="000000"/>
                <w:sz w:val="20"/>
              </w:rPr>
              <w:t>
Category 9 products - "Propulsion systems, spacecraft and related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Aerospace Committee of the Ministry of Digital Development, Innovation and Aerospace Industry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Civil pyrotechnics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Internal Affairs of the Republic of Kazakhstan (except for re-export)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goods in accordance with the </w:t>
            </w:r>
            <w:r>
              <w:rPr>
                <w:rFonts w:ascii="Times New Roman"/>
                <w:b w:val="false"/>
                <w:i w:val="false"/>
                <w:color w:val="000000"/>
                <w:sz w:val="20"/>
                <w:u w:val="single"/>
              </w:rPr>
              <w:t>Order</w:t>
            </w:r>
            <w:r>
              <w:rPr>
                <w:rFonts w:ascii="Times New Roman"/>
                <w:b w:val="false"/>
                <w:i w:val="false"/>
                <w:color w:val="000000"/>
                <w:sz w:val="20"/>
              </w:rPr>
              <w:t xml:space="preserve"> of the Minister of Industry and Infrastructure Development of the Republic of Kazakhstan dated June 9, 2023 № 424 "On Approval of the Checklist of Specific Goods" (registered in the Register of the State Registration of Regulatory Legal Acts under № 32767):</w:t>
            </w:r>
          </w:p>
          <w:p>
            <w:pPr>
              <w:spacing w:after="20"/>
              <w:ind w:left="20"/>
              <w:jc w:val="both"/>
            </w:pPr>
            <w:r>
              <w:rPr>
                <w:rFonts w:ascii="Times New Roman"/>
                <w:b w:val="false"/>
                <w:i w:val="false"/>
                <w:color w:val="000000"/>
                <w:sz w:val="20"/>
              </w:rPr>
              <w:t>
Category 10 products with reference 900 to 999 ("unilateral lists of products controlled under national security")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w:t>
            </w:r>
          </w:p>
          <w:p>
            <w:pPr>
              <w:spacing w:after="20"/>
              <w:ind w:left="20"/>
              <w:jc w:val="both"/>
            </w:pPr>
            <w:r>
              <w:rPr>
                <w:rFonts w:ascii="Times New Roman"/>
                <w:b w:val="false"/>
                <w:i w:val="false"/>
                <w:color w:val="000000"/>
                <w:sz w:val="20"/>
              </w:rPr>
              <w:t>
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w:t>
            </w:r>
          </w:p>
          <w:p>
            <w:pPr>
              <w:spacing w:after="20"/>
              <w:ind w:left="20"/>
              <w:jc w:val="both"/>
            </w:pPr>
            <w:r>
              <w:rPr>
                <w:rFonts w:ascii="Times New Roman"/>
                <w:b w:val="false"/>
                <w:i w:val="false"/>
                <w:color w:val="000000"/>
                <w:sz w:val="20"/>
              </w:rPr>
              <w:t>
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Trade and Integration of the Republic of Kazakhstan, State Revenue Committee of the Ministry of Finance of the Republic of Kazakhstan, Ministry of Digital Development, Innovation and Aerospace Industry of the Republic of Kazakhstan, Ministry of Foreign Affairs of the Republic of Kazakhstan, Ministry of Defense of the Republic of Kazakhstan (export and import only)</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nomenclature of goods is defined by both code and name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№1083</w:t>
            </w:r>
          </w:p>
        </w:tc>
      </w:tr>
    </w:tbl>
    <w:p>
      <w:pPr>
        <w:spacing w:after="0"/>
        <w:ind w:left="0"/>
        <w:jc w:val="left"/>
      </w:pPr>
      <w:r>
        <w:rPr>
          <w:rFonts w:ascii="Times New Roman"/>
          <w:b/>
          <w:i w:val="false"/>
          <w:color w:val="000000"/>
        </w:rPr>
        <w:t xml:space="preserve"> State bodies coordinating the issuance of transit permits for specific goods </w:t>
      </w:r>
    </w:p>
    <w:p>
      <w:pPr>
        <w:spacing w:after="0"/>
        <w:ind w:left="0"/>
        <w:jc w:val="both"/>
      </w:pPr>
      <w:r>
        <w:rPr>
          <w:rFonts w:ascii="Times New Roman"/>
          <w:b w:val="false"/>
          <w:i w:val="false"/>
          <w:color w:val="ff0000"/>
          <w:sz w:val="28"/>
        </w:rPr>
        <w:t>
      Footnote. Appendix 2 - as amended by the Resolution of the Government of the Republic of Kazakhstan dated 28.07.2023 № 616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specific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bodies of the Republic of Kazakhstan coordinating the issuance of transit permits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armaments and military equipment, raw materials, supplies, specialized equipment and technology, and works and services related to their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and special non-nuclear materials, equipment, installations, technologies, ionizing radiation sources, equipment and related dual-use (purpose) goods and technologies, works and services related to their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Nuclear and Energy Supervision and Control of the Ministry of Energy of the Republic of Kazakhstan,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Chemicals, dual-use goods and technologies that can be used in the creation of chemical weapons according to the lists, established by international regimes for the control of specific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Epidemiological Control Committee of the Ministry of Health of the Republic of Kazakhstan, Ministry of Energy of the Republic of Kazakhstan (for petrochemical products only),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Pathogens, their genetically modified forms and fragments of genetic material that can be used in the creation of bacteriological (biological) and toxin weapons, lists of which are established by international control regimes for specific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Epidemiological Control Committee of the Ministry of Health of the Republic of Kazakhstan, Ministry of Agriculture of the Republic of Kazakhstan,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Rocket equipment, engines, their components, equipment, materials and technologies used in the development of rocket equipment, lists of which are established by international regimes for the control of specific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Aerospace Committee of the Ministry of Digital Development, Innovation and Aerospace Industry of the Republic of Kazakhstan,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technical information, services and results of intellectual activity related to military products and dual-use (purpose) technologies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Science and Higher Education of the Republic of Kazakhstan,  Transport Committee of the Ministry of Industry and Infrastructure Development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 and blasting agents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Ministry of Defense of the Republic of Kazakhstan (for military purposes only), Transport Committee of the Ministry of Industry and Infrastructure Development of the Republic of Kazakhstan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