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dec0" w14:textId="6ced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establishment of the amount of payment for a private enforcement agent’s activity involving coercive measures taken under enforcement documents on collection of alimony and wages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Invalidated</w:t>
      </w: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Decree of the Government of the Republic of Kazakhstan dated December 24, 2015 No. 1053. Abolished by the Decree of the Government of the Republic of Kazakhstan dated 07/13/2023 No.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Unofficial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translation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Footnote. Abolished by the Decree of the Government of the Republic of Kazakhstan dated 07/13/2023 No. 560 (effective after ten calendar days after the date of its first official publication).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Shall enter into force from January 1, 2016.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In accordance with paragraph 2 of article 117-1 of the </w:t>
      </w:r>
      <w:r>
        <w:rPr>
          <w:rFonts w:ascii="Times New Roman"/>
          <w:b w:val="false"/>
          <w:i w:val="false"/>
          <w:color w:val="000000"/>
          <w:sz w:val="28"/>
        </w:rPr>
        <w:t>Law</w:t>
      </w:r>
      <w:r>
        <w:rPr>
          <w:rFonts w:ascii="Times New Roman"/>
          <w:b w:val="false"/>
          <w:i w:val="false"/>
          <w:color w:val="000000"/>
          <w:sz w:val="28"/>
        </w:rPr>
        <w:t xml:space="preserve"> of the Republic of Kazakhstan dated April 2, 2010 “On Enforcement Proceedings and the Status of Enforcement Agents” the Government of the Republic of Kazakhstan </w:t>
      </w:r>
      <w:r>
        <w:rPr>
          <w:rFonts w:ascii="Times New Roman"/>
          <w:b/>
          <w:i w:val="false"/>
          <w:color w:val="000000"/>
          <w:sz w:val="28"/>
        </w:rPr>
        <w:t>HEREBY DECREES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to establish the amount of payment for a private enforcement agent’s activity involving coercive measures taken under enforcement documents on collection of alimony and wages amounted to 15 monthly calculated indices per one enforcement proceeding.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Footnote. Paragraph 1 as amended by the decree of the Government of the Republic of Kazakhstan dated 21.10.2017 </w:t>
      </w:r>
      <w:r>
        <w:rPr>
          <w:rFonts w:ascii="Times New Roman"/>
          <w:b w:val="false"/>
          <w:i w:val="false"/>
          <w:color w:val="000000"/>
          <w:sz w:val="28"/>
        </w:rPr>
        <w:t>no. 666</w:t>
      </w:r>
      <w:r>
        <w:rPr>
          <w:rFonts w:ascii="Times New Roman"/>
          <w:b w:val="false"/>
          <w:i w:val="false"/>
          <w:color w:val="ff0000"/>
          <w:sz w:val="28"/>
        </w:rPr>
        <w:t xml:space="preserve"> (shall enter into force upon expiry of ten calendar days after the date of its first official publication).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This decree shall enter into force from January 1, 2016 and shall be subject to official publication.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Prime Minister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of the Republic of Kazakhstan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Massimov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