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39b2" w14:textId="1b73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Posting Reports Necessary for State Bodies on the Internet resource of the National Wealth Fund, as well as the List, Forms and Frequency of Reporting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1384 dated October 31, 2012. Abolished by Decree of the Government of the Republic of Kazakhstan dated 07/11/2023 No. 550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Government of the Republic of Kazakhstan dated 07/11/2023 No. 550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3 of</w:t>
      </w:r>
      <w:r>
        <w:rPr>
          <w:rFonts w:ascii="Times New Roman"/>
          <w:b w:val="false"/>
          <w:i w:val="false"/>
          <w:color w:val="000000"/>
          <w:sz w:val="28"/>
        </w:rPr>
        <w:t xml:space="preserve"> Article 13 of the Law of the Republic of Kazakhstan dated February 1, 2012 “On the National Welfare Fund”,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following attached documents shall be approved:</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Rules for</w:t>
      </w:r>
      <w:r>
        <w:rPr>
          <w:rFonts w:ascii="Times New Roman"/>
          <w:b w:val="false"/>
          <w:i w:val="false"/>
          <w:color w:val="000000"/>
          <w:sz w:val="28"/>
        </w:rPr>
        <w:t xml:space="preserve"> Posting Reports Necessary for State Bodies on the Internet resource of the National Wealth Fund;</w:t>
      </w:r>
    </w:p>
    <w:p>
      <w:pPr>
        <w:spacing w:after="0"/>
        <w:ind w:left="0"/>
        <w:jc w:val="both"/>
      </w:pPr>
      <w:r>
        <w:rPr>
          <w:rFonts w:ascii="Times New Roman"/>
          <w:b w:val="false"/>
          <w:i w:val="false"/>
          <w:color w:val="000000"/>
          <w:sz w:val="28"/>
        </w:rPr>
        <w:t xml:space="preserve">
      2) a </w:t>
      </w:r>
      <w:r>
        <w:rPr>
          <w:rFonts w:ascii="Times New Roman"/>
          <w:b w:val="false"/>
          <w:i w:val="false"/>
          <w:color w:val="000000"/>
          <w:sz w:val="28"/>
        </w:rPr>
        <w:t>list</w:t>
      </w:r>
      <w:r>
        <w:rPr>
          <w:rFonts w:ascii="Times New Roman"/>
          <w:b w:val="false"/>
          <w:i w:val="false"/>
          <w:color w:val="000000"/>
          <w:sz w:val="28"/>
        </w:rPr>
        <w:t xml:space="preserve"> and frequency of reporting required by state bodies on the website of the National Wealth Fund;</w:t>
      </w:r>
    </w:p>
    <w:p>
      <w:pPr>
        <w:spacing w:after="0"/>
        <w:ind w:left="0"/>
        <w:jc w:val="both"/>
      </w:pPr>
      <w:r>
        <w:rPr>
          <w:rFonts w:ascii="Times New Roman"/>
          <w:b w:val="false"/>
          <w:i w:val="false"/>
          <w:color w:val="000000"/>
          <w:sz w:val="28"/>
        </w:rPr>
        <w:t xml:space="preserve">
      3) reporting </w:t>
      </w:r>
      <w:r>
        <w:rPr>
          <w:rFonts w:ascii="Times New Roman"/>
          <w:b w:val="false"/>
          <w:i w:val="false"/>
          <w:color w:val="000000"/>
          <w:sz w:val="28"/>
        </w:rPr>
        <w:t>forms</w:t>
      </w:r>
      <w:r>
        <w:rPr>
          <w:rFonts w:ascii="Times New Roman"/>
          <w:b w:val="false"/>
          <w:i w:val="false"/>
          <w:color w:val="000000"/>
          <w:sz w:val="28"/>
        </w:rPr>
        <w:t xml:space="preserve"> required by government agencies posted on the website of the National Welfare Fund.</w:t>
      </w:r>
    </w:p>
    <w:p>
      <w:pPr>
        <w:spacing w:after="0"/>
        <w:ind w:left="0"/>
        <w:jc w:val="both"/>
      </w:pPr>
      <w:r>
        <w:rPr>
          <w:rFonts w:ascii="Times New Roman"/>
          <w:b w:val="false"/>
          <w:i w:val="false"/>
          <w:color w:val="000000"/>
          <w:sz w:val="28"/>
        </w:rPr>
        <w:t>
      2. This resolution shall become effective after six months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1384 dated October 31, 2012 </w:t>
            </w:r>
          </w:p>
        </w:tc>
      </w:tr>
    </w:tbl>
    <w:p>
      <w:pPr>
        <w:spacing w:after="0"/>
        <w:ind w:left="0"/>
        <w:jc w:val="left"/>
      </w:pPr>
      <w:r>
        <w:rPr>
          <w:rFonts w:ascii="Times New Roman"/>
          <w:b/>
          <w:i w:val="false"/>
          <w:color w:val="000000"/>
        </w:rPr>
        <w:t xml:space="preserve"> Rules for Posting Reports Necessary for State Bodies  on the Internet resource of the National Wealth Fund</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Posting Reports Required by State Bodies on the National Wealth Fund Website (hereinafter, the Rules) have been drawn up as per paragraph 3 of Article 13 of the Law of the Republic of Kazakhstan “On the National Wealth Fund” and establish the procedure for posting reports required by state bodies on the National Wealth Fund website (hereinafter, the Fund) and organisations forming part of the Fund group (hereinafter – the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of the Government of the Republic of Kazakhstan No. 949 dated 29.12.2021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Reporting - a set of information on the results and working conditions of the Fund and / or organization for a certain period of time, compiled on the basis of current information about the activities of the reporting object, for the provision of which the Fund and / or organization requires the collection, processing and / or systematization of available information, its updating and implementation of other similar actions.</w:t>
      </w:r>
    </w:p>
    <w:p>
      <w:pPr>
        <w:spacing w:after="0"/>
        <w:ind w:left="0"/>
        <w:jc w:val="both"/>
      </w:pPr>
      <w:r>
        <w:rPr>
          <w:rFonts w:ascii="Times New Roman"/>
          <w:b w:val="false"/>
          <w:i w:val="false"/>
          <w:color w:val="000000"/>
          <w:sz w:val="28"/>
        </w:rPr>
        <w:t>
      Other concepts and definitions shall be used in the Rules in accordance with the laws of the Republic of Kazakhstan.</w:t>
      </w:r>
    </w:p>
    <w:p>
      <w:pPr>
        <w:spacing w:after="0"/>
        <w:ind w:left="0"/>
        <w:jc w:val="both"/>
      </w:pPr>
      <w:r>
        <w:rPr>
          <w:rFonts w:ascii="Times New Roman"/>
          <w:b w:val="false"/>
          <w:i w:val="false"/>
          <w:color w:val="000000"/>
          <w:sz w:val="28"/>
        </w:rPr>
        <w:t>
      3. The reporting provided for by these Rules shall be provided by posting relevant information according to the list, forms and frequency approved by the decision of the Government of the Republic of Kazakhstan on the Internet resource of the Fund and providing access to state bodies.</w:t>
      </w:r>
    </w:p>
    <w:p>
      <w:pPr>
        <w:spacing w:after="0"/>
        <w:ind w:left="0"/>
        <w:jc w:val="both"/>
      </w:pPr>
      <w:r>
        <w:rPr>
          <w:rFonts w:ascii="Times New Roman"/>
          <w:b w:val="false"/>
          <w:i w:val="false"/>
          <w:color w:val="000000"/>
          <w:sz w:val="28"/>
        </w:rPr>
        <w:t>
      Reporting not provided by the list approved by the decision of the Government of the Republic of Kazakhstan shall not be provided upon the request of state bodies by the Fund and organizations.</w:t>
      </w:r>
    </w:p>
    <w:p>
      <w:pPr>
        <w:spacing w:after="0"/>
        <w:ind w:left="0"/>
        <w:jc w:val="both"/>
      </w:pPr>
      <w:r>
        <w:rPr>
          <w:rFonts w:ascii="Times New Roman"/>
          <w:b w:val="false"/>
          <w:i w:val="false"/>
          <w:color w:val="000000"/>
          <w:sz w:val="28"/>
        </w:rPr>
        <w:t>
      The Fund and (or) organizations, in cases expressly provided for by the laws of the Republic of Kazakhstan, acts of the President of the Republic of Kazakhstan, and the Government of the Republic of Kazakhstan, shall provide information in the manner prescribed by the specified regulatory legal acts .</w:t>
      </w:r>
    </w:p>
    <w:p>
      <w:pPr>
        <w:spacing w:after="0"/>
        <w:ind w:left="0"/>
        <w:jc w:val="both"/>
      </w:pPr>
      <w:r>
        <w:rPr>
          <w:rFonts w:ascii="Times New Roman"/>
          <w:b w:val="false"/>
          <w:i w:val="false"/>
          <w:color w:val="000000"/>
          <w:sz w:val="28"/>
        </w:rPr>
        <w:t>
      Information shall be also provided in pursuance of instructions of the President of the Republic of Kazakhstan to state bodies, provided that the Fund and (or) organizations are executors or co-executors of these instructions, as well as pursuant to the relevant clauses assigned to the Fund and (or) organizations by orders of the Presidential Administration of the Republic Kazakhstan or upon its request.</w:t>
      </w:r>
    </w:p>
    <w:p>
      <w:pPr>
        <w:spacing w:after="0"/>
        <w:ind w:left="0"/>
        <w:jc w:val="both"/>
      </w:pPr>
      <w:r>
        <w:rPr>
          <w:rFonts w:ascii="Times New Roman"/>
          <w:b w:val="false"/>
          <w:i w:val="false"/>
          <w:color w:val="000000"/>
          <w:sz w:val="28"/>
        </w:rPr>
        <w:t>
      This information shall be presented without posting on the Internet resource of the Fund.</w:t>
      </w:r>
    </w:p>
    <w:p>
      <w:pPr>
        <w:spacing w:after="0"/>
        <w:ind w:left="0"/>
        <w:jc w:val="both"/>
      </w:pPr>
      <w:r>
        <w:rPr>
          <w:rFonts w:ascii="Times New Roman"/>
          <w:b w:val="false"/>
          <w:i w:val="false"/>
          <w:color w:val="000000"/>
          <w:sz w:val="28"/>
        </w:rPr>
        <w:t>
      In case of transfer of blocks of shares (participatory interests) of organizations to the trust management of state bodies, the reports relating to the activities of such organizations shall be submitted to them by the Fund and organizations in accordance with the terms of the trust management agreement .</w:t>
      </w:r>
    </w:p>
    <w:p>
      <w:pPr>
        <w:spacing w:after="0"/>
        <w:ind w:left="0"/>
        <w:jc w:val="both"/>
      </w:pPr>
      <w:r>
        <w:rPr>
          <w:rFonts w:ascii="Times New Roman"/>
          <w:b w:val="false"/>
          <w:i w:val="false"/>
          <w:color w:val="000000"/>
          <w:sz w:val="28"/>
        </w:rPr>
        <w:t>
      4. The Fund shall ensure the provision of reliable and timely information necessary for state bodies on the Internet resource of the Fund in the manner prescribed by the legislation of the Republic of Kazakhstan.</w:t>
      </w:r>
    </w:p>
    <w:p>
      <w:pPr>
        <w:spacing w:after="0"/>
        <w:ind w:left="0"/>
        <w:jc w:val="left"/>
      </w:pPr>
      <w:r>
        <w:rPr>
          <w:rFonts w:ascii="Times New Roman"/>
          <w:b/>
          <w:i w:val="false"/>
          <w:color w:val="000000"/>
        </w:rPr>
        <w:t xml:space="preserve"> 2. Procedure for posting reports on the Internet resource of the Fund</w:t>
      </w:r>
    </w:p>
    <w:p>
      <w:pPr>
        <w:spacing w:after="0"/>
        <w:ind w:left="0"/>
        <w:jc w:val="both"/>
      </w:pPr>
      <w:r>
        <w:rPr>
          <w:rFonts w:ascii="Times New Roman"/>
          <w:b w:val="false"/>
          <w:i w:val="false"/>
          <w:color w:val="000000"/>
          <w:sz w:val="28"/>
        </w:rPr>
        <w:t>
      5. Reporting posted on the Fund’s Internet resource in accordance with these Rules shall include electronic information resources containing information on the activities of the Fund and (or) organizations required by state bodies according to the list, forms and frequency approved by the decision of the Government of the Republic of Kazakhstan.</w:t>
      </w:r>
    </w:p>
    <w:p>
      <w:pPr>
        <w:spacing w:after="0"/>
        <w:ind w:left="0"/>
        <w:jc w:val="both"/>
      </w:pPr>
      <w:r>
        <w:rPr>
          <w:rFonts w:ascii="Times New Roman"/>
          <w:b w:val="false"/>
          <w:i w:val="false"/>
          <w:color w:val="000000"/>
          <w:sz w:val="28"/>
        </w:rPr>
        <w:t>
      6. Electronic information resources posted on the Foundation's Internet resource in accordance with these Rules shall be restricted information and belong to the category of confidential electronic information resources.</w:t>
      </w:r>
    </w:p>
    <w:p>
      <w:pPr>
        <w:spacing w:after="0"/>
        <w:ind w:left="0"/>
        <w:jc w:val="both"/>
      </w:pPr>
      <w:r>
        <w:rPr>
          <w:rFonts w:ascii="Times New Roman"/>
          <w:b w:val="false"/>
          <w:i w:val="false"/>
          <w:color w:val="000000"/>
          <w:sz w:val="28"/>
        </w:rPr>
        <w:t>
      7. The Fund shall implement legal, organisational and technical (software and hardware) measures required by the Law of the Republic of Kazakhstan “On Informatisation” to protect electronic information resources of restricted access placed on the Fund's website.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No. 949 dated 29.12.2021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On the Internet resource of the Fund it shall be prohibited to post electronic information resources transferred from state secrets in accordance with the legislation of the Republic of Kazakhstan.</w:t>
      </w:r>
    </w:p>
    <w:p>
      <w:pPr>
        <w:spacing w:after="0"/>
        <w:ind w:left="0"/>
        <w:jc w:val="both"/>
      </w:pPr>
      <w:r>
        <w:rPr>
          <w:rFonts w:ascii="Times New Roman"/>
          <w:b w:val="false"/>
          <w:i w:val="false"/>
          <w:color w:val="000000"/>
          <w:sz w:val="28"/>
        </w:rPr>
        <w:t>
      9. Reporting shall be posted on the Foundation's Internet resource in the state and Russian languages ​​and shall contain:</w:t>
      </w:r>
    </w:p>
    <w:p>
      <w:pPr>
        <w:spacing w:after="0"/>
        <w:ind w:left="0"/>
        <w:jc w:val="both"/>
      </w:pPr>
      <w:r>
        <w:rPr>
          <w:rFonts w:ascii="Times New Roman"/>
          <w:b w:val="false"/>
          <w:i w:val="false"/>
          <w:color w:val="000000"/>
          <w:sz w:val="28"/>
        </w:rPr>
        <w:t>
      1) reliable information corresponding to the actual state of affairs of the reporting subject in the relevant reporting area;</w:t>
      </w:r>
    </w:p>
    <w:p>
      <w:pPr>
        <w:spacing w:after="0"/>
        <w:ind w:left="0"/>
        <w:jc w:val="both"/>
      </w:pPr>
      <w:r>
        <w:rPr>
          <w:rFonts w:ascii="Times New Roman"/>
          <w:b w:val="false"/>
          <w:i w:val="false"/>
          <w:color w:val="000000"/>
          <w:sz w:val="28"/>
        </w:rPr>
        <w:t>
      2) relevant information.</w:t>
      </w:r>
    </w:p>
    <w:p>
      <w:pPr>
        <w:spacing w:after="0"/>
        <w:ind w:left="0"/>
        <w:jc w:val="both"/>
      </w:pPr>
      <w:r>
        <w:rPr>
          <w:rFonts w:ascii="Times New Roman"/>
          <w:b w:val="false"/>
          <w:i w:val="false"/>
          <w:color w:val="000000"/>
          <w:sz w:val="28"/>
        </w:rPr>
        <w:t>
      The relevance of the information provided shall be ensured by the placement (updating) of reports on the Internet resource of the Fund in accordance with the frequency approved by the decision of the Government of the Republic of Kazakhstan.</w:t>
      </w:r>
    </w:p>
    <w:p>
      <w:pPr>
        <w:spacing w:after="0"/>
        <w:ind w:left="0"/>
        <w:jc w:val="both"/>
      </w:pPr>
      <w:r>
        <w:rPr>
          <w:rFonts w:ascii="Times New Roman"/>
          <w:b w:val="false"/>
          <w:i w:val="false"/>
          <w:color w:val="000000"/>
          <w:sz w:val="28"/>
        </w:rPr>
        <w:t>
      10. The Internet resource of the Fund shall contain the information on the date and time of placement (updating) of reports. At the same time, statements posted earlier (prior to updating) shall be saved on the Internet site of the Fund.</w:t>
      </w:r>
    </w:p>
    <w:p>
      <w:pPr>
        <w:spacing w:after="0"/>
        <w:ind w:left="0"/>
        <w:jc w:val="both"/>
      </w:pPr>
      <w:r>
        <w:rPr>
          <w:rFonts w:ascii="Times New Roman"/>
          <w:b w:val="false"/>
          <w:i w:val="false"/>
          <w:color w:val="000000"/>
          <w:sz w:val="28"/>
        </w:rPr>
        <w:t>
      Archived reporting data cannot be deleted from the Internet resource of the Fund (with the exception of technical errors) for 5 (five) years.</w:t>
      </w:r>
    </w:p>
    <w:p>
      <w:pPr>
        <w:spacing w:after="0"/>
        <w:ind w:left="0"/>
        <w:jc w:val="both"/>
      </w:pPr>
      <w:r>
        <w:rPr>
          <w:rFonts w:ascii="Times New Roman"/>
          <w:b w:val="false"/>
          <w:i w:val="false"/>
          <w:color w:val="000000"/>
          <w:sz w:val="28"/>
        </w:rPr>
        <w:t>
      11. Reporting shall be posted on the Internet resource of the Fund in Excel format and other publicly available formats.</w:t>
      </w:r>
    </w:p>
    <w:p>
      <w:pPr>
        <w:spacing w:after="0"/>
        <w:ind w:left="0"/>
        <w:jc w:val="both"/>
      </w:pPr>
      <w:r>
        <w:rPr>
          <w:rFonts w:ascii="Times New Roman"/>
          <w:b w:val="false"/>
          <w:i w:val="false"/>
          <w:color w:val="000000"/>
          <w:sz w:val="28"/>
        </w:rPr>
        <w:t>
      Information that occupies more than twenty-five pages may be placed on the Foundation’s Internet resource in archived form using the ZIP format and others.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1384 dated October 31, 2012 </w:t>
            </w:r>
          </w:p>
        </w:tc>
      </w:tr>
    </w:tbl>
    <w:p>
      <w:pPr>
        <w:spacing w:after="0"/>
        <w:ind w:left="0"/>
        <w:jc w:val="left"/>
      </w:pPr>
      <w:r>
        <w:rPr>
          <w:rFonts w:ascii="Times New Roman"/>
          <w:b/>
          <w:i w:val="false"/>
          <w:color w:val="000000"/>
        </w:rPr>
        <w:t xml:space="preserve"> List and frequency of posting of reports required by state bodies on the website of the National Wealth Fund</w:t>
      </w:r>
    </w:p>
    <w:p>
      <w:pPr>
        <w:spacing w:after="0"/>
        <w:ind w:left="0"/>
        <w:jc w:val="both"/>
      </w:pPr>
      <w:r>
        <w:rPr>
          <w:rFonts w:ascii="Times New Roman"/>
          <w:b w:val="false"/>
          <w:i w:val="false"/>
          <w:color w:val="ff0000"/>
          <w:sz w:val="28"/>
        </w:rPr>
        <w:t>
      Footnote. The list - as reworded by Decree of the Government of the Republic of Kazakhstan No. 121 of 13.02.2023 (shall go into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of posting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body with access to reports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 structure and repayment schedule (guarantee structure) (Form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25th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sustainability indicators (Form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after 80 calendar days from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Disbursement Report of the National Fund of the Republic of Kazakhstan (Form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15th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social performance of subsidiaries with national company status (Form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by the 15th day of the third month following the reporting period (as of January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Fund's investment projects under the State Programme for Industrial and Innovative Development of the Republic of Kazakhstan (SPIID), the Nurly Zhol State Infrastructure Development Programme, and those brought before the Board of Directors of the Fund (Form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MIID,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information on the communications industry (Form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10th of the month following the reporting period, and within the deadlines given in Form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 (as agreed), OG, MDDIAI, SAC (as agreed),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use of budgetary investments and loans of the Fund (Form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by the 10th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IT staff of the Fund group (Form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by the 15th day of the second month following the reporting period (as of January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MDDIAI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structure of the Fund as per the methodology for the classification of legal entities the shares (participatory interests) of which are directly or indirectly held by the Fund (Form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by April 30 following the reporting period (as of January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development plan of the Fund adopted by the Board of Directors of the Fund and the report on its implementation (Form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two weeks of approval of the Development Plan and examination of the report by the Board of Directors of the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reason for the balance of the Fund's cash checking account (Form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by March 10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the transfer to a competitive environment of the facilities of the Fund envisaged by Decree of the Government of the Republic of Kazakhstan No. 908 of 29 December 2020 “On Certain Issues of Privatisation for 2021 – 2025”. (Form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10th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of the Fund on accrued other distributions to the shareholder for the Corporate Centre of the Fund (Form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by the 15th of the month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SAC (as agreed)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on accrued dividends on the state portfolio of the Fund's shares (Form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annually, by March 10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(as agreed), OG, MNE, MF, PGO (as agreed), ACC (as agreed), SAC (as agreed)</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abbreviation:</w:t>
      </w:r>
    </w:p>
    <w:p>
      <w:pPr>
        <w:spacing w:after="0"/>
        <w:ind w:left="0"/>
        <w:jc w:val="both"/>
      </w:pPr>
      <w:r>
        <w:rPr>
          <w:rFonts w:ascii="Times New Roman"/>
          <w:b w:val="false"/>
          <w:i w:val="false"/>
          <w:color w:val="000000"/>
          <w:sz w:val="28"/>
        </w:rPr>
        <w:t>
      PGO –Prosecutor General’s Office of the Republic of Kazakhstan</w:t>
      </w:r>
    </w:p>
    <w:p>
      <w:pPr>
        <w:spacing w:after="0"/>
        <w:ind w:left="0"/>
        <w:jc w:val="both"/>
      </w:pPr>
      <w:r>
        <w:rPr>
          <w:rFonts w:ascii="Times New Roman"/>
          <w:b w:val="false"/>
          <w:i w:val="false"/>
          <w:color w:val="000000"/>
          <w:sz w:val="28"/>
        </w:rPr>
        <w:t>
      SAC – Supreme Audit Chamber of the Republic of Kazakhstan</w:t>
      </w:r>
    </w:p>
    <w:p>
      <w:pPr>
        <w:spacing w:after="0"/>
        <w:ind w:left="0"/>
        <w:jc w:val="both"/>
      </w:pPr>
      <w:r>
        <w:rPr>
          <w:rFonts w:ascii="Times New Roman"/>
          <w:b w:val="false"/>
          <w:i w:val="false"/>
          <w:color w:val="000000"/>
          <w:sz w:val="28"/>
        </w:rPr>
        <w:t>
      MIID – Ministry of Industry and Infrastructure Development of the Republic of Kazakhstan</w:t>
      </w:r>
    </w:p>
    <w:p>
      <w:pPr>
        <w:spacing w:after="0"/>
        <w:ind w:left="0"/>
        <w:jc w:val="both"/>
      </w:pPr>
      <w:r>
        <w:rPr>
          <w:rFonts w:ascii="Times New Roman"/>
          <w:b w:val="false"/>
          <w:i w:val="false"/>
          <w:color w:val="000000"/>
          <w:sz w:val="28"/>
        </w:rPr>
        <w:t>
      SPIID – State Programme for Industrial and Innovative Development of the Republic of Kazakhstan for 2020-2025.</w:t>
      </w:r>
    </w:p>
    <w:p>
      <w:pPr>
        <w:spacing w:after="0"/>
        <w:ind w:left="0"/>
        <w:jc w:val="both"/>
      </w:pPr>
      <w:r>
        <w:rPr>
          <w:rFonts w:ascii="Times New Roman"/>
          <w:b w:val="false"/>
          <w:i w:val="false"/>
          <w:color w:val="000000"/>
          <w:sz w:val="28"/>
        </w:rPr>
        <w:t>
      MF – Ministry of Finance of the Republic of Kazakhstan</w:t>
      </w:r>
    </w:p>
    <w:p>
      <w:pPr>
        <w:spacing w:after="0"/>
        <w:ind w:left="0"/>
        <w:jc w:val="both"/>
      </w:pPr>
      <w:r>
        <w:rPr>
          <w:rFonts w:ascii="Times New Roman"/>
          <w:b w:val="false"/>
          <w:i w:val="false"/>
          <w:color w:val="000000"/>
          <w:sz w:val="28"/>
        </w:rPr>
        <w:t>
      Fund – Samruk-Kazyna Sovereign Wealth Fund Joint Stock Company</w:t>
      </w:r>
    </w:p>
    <w:p>
      <w:pPr>
        <w:spacing w:after="0"/>
        <w:ind w:left="0"/>
        <w:jc w:val="both"/>
      </w:pPr>
      <w:r>
        <w:rPr>
          <w:rFonts w:ascii="Times New Roman"/>
          <w:b w:val="false"/>
          <w:i w:val="false"/>
          <w:color w:val="000000"/>
          <w:sz w:val="28"/>
        </w:rPr>
        <w:t>
      EO – Executive Office of the President of the Republic of Kazakhstan</w:t>
      </w:r>
    </w:p>
    <w:p>
      <w:pPr>
        <w:spacing w:after="0"/>
        <w:ind w:left="0"/>
        <w:jc w:val="both"/>
      </w:pPr>
      <w:r>
        <w:rPr>
          <w:rFonts w:ascii="Times New Roman"/>
          <w:b w:val="false"/>
          <w:i w:val="false"/>
          <w:color w:val="000000"/>
          <w:sz w:val="28"/>
        </w:rPr>
        <w:t>
      ACC – Agency of the Republic of Kazakhstan for Counteracting Corruption</w:t>
      </w:r>
    </w:p>
    <w:p>
      <w:pPr>
        <w:spacing w:after="0"/>
        <w:ind w:left="0"/>
        <w:jc w:val="both"/>
      </w:pPr>
      <w:r>
        <w:rPr>
          <w:rFonts w:ascii="Times New Roman"/>
          <w:b w:val="false"/>
          <w:i w:val="false"/>
          <w:color w:val="000000"/>
          <w:sz w:val="28"/>
        </w:rPr>
        <w:t>
      MNE – Ministry of National Economy of the Republic of Kazakhstan</w:t>
      </w:r>
    </w:p>
    <w:p>
      <w:pPr>
        <w:spacing w:after="0"/>
        <w:ind w:left="0"/>
        <w:jc w:val="both"/>
      </w:pPr>
      <w:r>
        <w:rPr>
          <w:rFonts w:ascii="Times New Roman"/>
          <w:b w:val="false"/>
          <w:i w:val="false"/>
          <w:color w:val="000000"/>
          <w:sz w:val="28"/>
        </w:rPr>
        <w:t>
      OG – Office of the Government of the Republic of Kazakhstan</w:t>
      </w:r>
    </w:p>
    <w:p>
      <w:pPr>
        <w:spacing w:after="0"/>
        <w:ind w:left="0"/>
        <w:jc w:val="both"/>
      </w:pPr>
      <w:r>
        <w:rPr>
          <w:rFonts w:ascii="Times New Roman"/>
          <w:b w:val="false"/>
          <w:i w:val="false"/>
          <w:color w:val="000000"/>
          <w:sz w:val="28"/>
        </w:rPr>
        <w:t>
      MDDIAI– Ministry of Digital Development, Innovation and Aerospace 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1384 dated October 31 , 2012 </w:t>
            </w:r>
          </w:p>
        </w:tc>
      </w:tr>
    </w:tbl>
    <w:p>
      <w:pPr>
        <w:spacing w:after="0"/>
        <w:ind w:left="0"/>
        <w:jc w:val="left"/>
      </w:pPr>
      <w:r>
        <w:rPr>
          <w:rFonts w:ascii="Times New Roman"/>
          <w:b/>
          <w:i w:val="false"/>
          <w:color w:val="000000"/>
        </w:rPr>
        <w:t xml:space="preserve"> Reporting forms required by government agencies posted on the website of the National Welfare Fund</w:t>
      </w:r>
    </w:p>
    <w:p>
      <w:pPr>
        <w:spacing w:after="0"/>
        <w:ind w:left="0"/>
        <w:jc w:val="both"/>
      </w:pPr>
      <w:r>
        <w:rPr>
          <w:rFonts w:ascii="Times New Roman"/>
          <w:b w:val="false"/>
          <w:i w:val="false"/>
          <w:color w:val="ff0000"/>
          <w:sz w:val="28"/>
        </w:rPr>
        <w:t>
      Footnote. Reporting forms as amended by Decree of the Government of the Republic of Kazakhstan No. 531 dated 25.07.2019 (shall be enforced upon expiry of ten calendar days after the day of its first official publication); No. 949 dated 29.12.2021 (shall come into force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Borrowing structure and repayment schedule (Guarantee Structure) Name of subsidiary (corporate center):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following columns shall not be filled out for guarantees.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(Guarantor)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Lender (Beneficiary under warranty)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 (Guaranteed Instrument)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purpose of borrowing (Object of guarantee; the purpose of attracting guaranteed borrowing)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CRDTR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borrowing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borrowing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Borrowings within Samruk-Kazyna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Guarantees for the companies of Samruk-Kazyna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Guarantees for other companies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 (Guarantee Agreement)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Terms (Guarantee Terms)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conditions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REFDT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Lnccy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LNAMNT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term (Guaranteed loan term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security for a loan (Type of security for a guarantee)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maturity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remaining period in days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DTPLC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AVLB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DTPMT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NDAYS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CLTRL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principal debt (hereinafter referred to as OD) at the reporting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 20XX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 20XX</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Y0DBT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1QPRL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2QPRL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2QINT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3QPRL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3QINT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 20XX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beginning of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beginning of the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4QPRL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4QINT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Y1DBT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Y1PRL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Y1INT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Y2DBT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Y2PRL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Y2INT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beginning of the period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beginning of the period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at the beginning of the period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principal debt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payout%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Y3DBT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Y3PRL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Y3int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Y4DBT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Y4PRL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Y4int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Y5DBT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Y5PRL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Y5INT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left"/>
      </w:pPr>
      <w:r>
        <w:rPr>
          <w:rFonts w:ascii="Times New Roman"/>
          <w:b/>
          <w:i w:val="false"/>
          <w:color w:val="000000"/>
        </w:rPr>
        <w:t xml:space="preserve"> Financial stability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reporting date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w:t>
            </w:r>
          </w:p>
          <w:p>
            <w:pPr>
              <w:spacing w:after="20"/>
              <w:ind w:left="20"/>
              <w:jc w:val="both"/>
            </w:pPr>
            <w:r>
              <w:rPr>
                <w:rFonts w:ascii="Times New Roman"/>
                <w:b w:val="false"/>
                <w:i w:val="false"/>
                <w:color w:val="000000"/>
                <w:sz w:val="20"/>
              </w:rPr>
              <w:t>
(fact)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+ 1 (rating)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+ 2 (forecast)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+ 3 (forecast)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+ 4 (forecast)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+ 5 (forecast)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 EBITDA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payment coverage ratio (EBITDA / interest expense)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 net equity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liquidity ratio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3</w:t>
            </w:r>
          </w:p>
        </w:tc>
      </w:tr>
    </w:tbl>
    <w:p>
      <w:pPr>
        <w:spacing w:after="0"/>
        <w:ind w:left="0"/>
        <w:jc w:val="left"/>
      </w:pPr>
      <w:r>
        <w:rPr>
          <w:rFonts w:ascii="Times New Roman"/>
          <w:b/>
          <w:i w:val="false"/>
          <w:color w:val="000000"/>
        </w:rPr>
        <w:t xml:space="preserve"> Report on the development of funds of the National Fund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KZT, million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Source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event (purpose)</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(provided)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Assimilated (transferred)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Returned to the fund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Undeveloped balance</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stock at the fund</w:t>
            </w:r>
          </w:p>
          <w:p>
            <w:pPr>
              <w:spacing w:after="20"/>
              <w:ind w:left="20"/>
              <w:jc w:val="both"/>
            </w:pPr>
            <w:r>
              <w:rPr>
                <w:rFonts w:ascii="Times New Roman"/>
                <w:b w:val="false"/>
                <w:i w:val="false"/>
                <w:color w:val="000000"/>
                <w:sz w:val="20"/>
              </w:rPr>
              <w:t>
(= 8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w:t>
            </w:r>
          </w:p>
          <w:p>
            <w:pPr>
              <w:spacing w:after="20"/>
              <w:ind w:left="20"/>
              <w:jc w:val="both"/>
            </w:pPr>
            <w:r>
              <w:rPr>
                <w:rFonts w:ascii="Times New Roman"/>
                <w:b w:val="false"/>
                <w:i w:val="false"/>
                <w:color w:val="000000"/>
                <w:sz w:val="20"/>
              </w:rPr>
              <w:t>
(= 4 - 6)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non-development</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capital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Bonds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4</w:t>
            </w:r>
          </w:p>
        </w:tc>
      </w:tr>
    </w:tbl>
    <w:p>
      <w:pPr>
        <w:spacing w:after="0"/>
        <w:ind w:left="0"/>
        <w:jc w:val="left"/>
      </w:pPr>
      <w:r>
        <w:rPr>
          <w:rFonts w:ascii="Times New Roman"/>
          <w:b/>
          <w:i w:val="false"/>
          <w:color w:val="000000"/>
        </w:rPr>
        <w:t xml:space="preserve"> Report on the social indicators of subsidiaries (hereinafter - S) having the status of national companies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number of employees, total,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People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People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Salary fund , total,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monthly salary, total,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turnover among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5</w:t>
            </w:r>
          </w:p>
        </w:tc>
      </w:tr>
    </w:tbl>
    <w:p>
      <w:pPr>
        <w:spacing w:after="0"/>
        <w:ind w:left="0"/>
        <w:jc w:val="left"/>
      </w:pPr>
      <w:r>
        <w:rPr>
          <w:rFonts w:ascii="Times New Roman"/>
          <w:b/>
          <w:i w:val="false"/>
          <w:color w:val="000000"/>
        </w:rPr>
        <w:t xml:space="preserve"> Details of the Fund's investment projects under the SPIID1, Nurly Zhol2 , and those submitted for consideration by the Board of Directors of the Fund</w:t>
      </w:r>
    </w:p>
    <w:p>
      <w:pPr>
        <w:spacing w:after="0"/>
        <w:ind w:left="0"/>
        <w:jc w:val="both"/>
      </w:pPr>
      <w:r>
        <w:rPr>
          <w:rFonts w:ascii="Times New Roman"/>
          <w:b w:val="false"/>
          <w:i w:val="false"/>
          <w:color w:val="ff0000"/>
          <w:sz w:val="28"/>
        </w:rPr>
        <w:t>
      Footnote. Document form 5 - as reworded by Decree of the Government of the Republic of Kazakhstan No. 949 dated 29.12.2021 (shall come into force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title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Goal/effect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timeframe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capacity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kind per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value per year, million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jobs for the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investment since the start of the project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cost, mln tenge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scheme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million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 of total project cost</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Proprietary (Fund and Subsidiaries and affiliates)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RB (NF5)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UAPF 6(loan)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 (MM. 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attainment of design capacity (MM. YY)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produced in kind (since commissioning date), tonnes, pcs, etc.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output in value terms (since commissioning date), mln tenge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status (completed project activities and works in progress)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Problematic issues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solving the problem indicating the competent authority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1 State Programme for Industrial and Innovative Development of the Republic of Kazakhstan for 2020-2025</w:t>
      </w:r>
    </w:p>
    <w:p>
      <w:pPr>
        <w:spacing w:after="0"/>
        <w:ind w:left="0"/>
        <w:jc w:val="both"/>
      </w:pPr>
      <w:r>
        <w:rPr>
          <w:rFonts w:ascii="Times New Roman"/>
          <w:b w:val="false"/>
          <w:i w:val="false"/>
          <w:color w:val="000000"/>
          <w:sz w:val="28"/>
        </w:rPr>
        <w:t>
      2 Nurly Zhol State Infrastructure Development Programme for 2020 - 2025</w:t>
      </w:r>
    </w:p>
    <w:p>
      <w:pPr>
        <w:spacing w:after="0"/>
        <w:ind w:left="0"/>
        <w:jc w:val="both"/>
      </w:pPr>
      <w:r>
        <w:rPr>
          <w:rFonts w:ascii="Times New Roman"/>
          <w:b w:val="false"/>
          <w:i w:val="false"/>
          <w:color w:val="000000"/>
          <w:sz w:val="28"/>
        </w:rPr>
        <w:t>
      3 Subsidiaries and affiliates</w:t>
      </w:r>
    </w:p>
    <w:p>
      <w:pPr>
        <w:spacing w:after="0"/>
        <w:ind w:left="0"/>
        <w:jc w:val="both"/>
      </w:pPr>
      <w:r>
        <w:rPr>
          <w:rFonts w:ascii="Times New Roman"/>
          <w:b w:val="false"/>
          <w:i w:val="false"/>
          <w:color w:val="000000"/>
          <w:sz w:val="28"/>
        </w:rPr>
        <w:t>
      4 National budget</w:t>
      </w:r>
    </w:p>
    <w:p>
      <w:pPr>
        <w:spacing w:after="0"/>
        <w:ind w:left="0"/>
        <w:jc w:val="both"/>
      </w:pPr>
      <w:r>
        <w:rPr>
          <w:rFonts w:ascii="Times New Roman"/>
          <w:b w:val="false"/>
          <w:i w:val="false"/>
          <w:color w:val="000000"/>
          <w:sz w:val="28"/>
        </w:rPr>
        <w:t>
      5 National Fund</w:t>
      </w:r>
    </w:p>
    <w:p>
      <w:pPr>
        <w:spacing w:after="0"/>
        <w:ind w:left="0"/>
        <w:jc w:val="both"/>
      </w:pPr>
      <w:r>
        <w:rPr>
          <w:rFonts w:ascii="Times New Roman"/>
          <w:b w:val="false"/>
          <w:i w:val="false"/>
          <w:color w:val="000000"/>
          <w:sz w:val="28"/>
        </w:rPr>
        <w:t>
      6 Unified Accumulation Pension Fund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6</w:t>
            </w:r>
          </w:p>
        </w:tc>
      </w:tr>
    </w:tbl>
    <w:p>
      <w:pPr>
        <w:spacing w:after="0"/>
        <w:ind w:left="0"/>
        <w:jc w:val="left"/>
      </w:pPr>
      <w:r>
        <w:rPr>
          <w:rFonts w:ascii="Times New Roman"/>
          <w:b/>
          <w:i w:val="false"/>
          <w:color w:val="000000"/>
        </w:rPr>
        <w:t xml:space="preserve"> Analytical information on the communications industry Monthly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Cumulative reporting 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Digitalization level of local telecommunication networks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Digitalization level of local telecommunication networks in rural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fixed telephone lines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fixed telephone lines in rural areas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fixed Internet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fixed broadband Internet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Internet Access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users with broadband Internet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Internet Bandwidth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coverage of broadband Internet access services using CDMA technology for 450 rural settlements with a population of 50 people or more (by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450 rural settlements with a population of 50 or more (by region) covered by the services of broadband Internet access using CDMA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automated post offices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form 6 </w:t>
            </w:r>
          </w:p>
        </w:tc>
      </w:tr>
    </w:tbl>
    <w:p>
      <w:pPr>
        <w:spacing w:after="0"/>
        <w:ind w:left="0"/>
        <w:jc w:val="left"/>
      </w:pPr>
      <w:r>
        <w:rPr>
          <w:rFonts w:ascii="Times New Roman"/>
          <w:b/>
          <w:i w:val="false"/>
          <w:color w:val="000000"/>
        </w:rPr>
        <w:t xml:space="preserve"> Monthly Analytical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Name of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submission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 for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about the current state and development of Kazakhtelecom Joint Stock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until the 10th day following the reporting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work performed on digital switching stations on local telecommunication networks. Development of a local telecommunications network. Construction of a local telecommunications network.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work performed on the modernization and development of rural telecommunication networks using CDMA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work done to expand the National Information Superhighway based on DWDM spectral multiplexing technology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rural settlements, about those provided with universal communication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construction of the Zone Network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expansion of the telecommunication backbone network (Fiber optic communication line of the National Information Superhighway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projects introducing new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Internet access and broadband Internet access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wireless Internet access network based on CDMA-450/800, EV-DO, 4G (LTE), FTTH technology (infrastructure, number of base stations, by regions)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subscribers and the average speed of broadband Internet access using ADSL, FTTH, CDMA-450, EV-DO, LTE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SIP telephony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broadband Internet access points using Wi-Fi technology installed in public places (higher education institutions, hospitals, hotels, public service centers, regional railway stations, etc.)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ID TV (number of subscribers, infrastructure)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form 6</w:t>
            </w:r>
          </w:p>
        </w:tc>
      </w:tr>
    </w:tbl>
    <w:p>
      <w:pPr>
        <w:spacing w:after="0"/>
        <w:ind w:left="0"/>
        <w:jc w:val="left"/>
      </w:pPr>
      <w:r>
        <w:rPr>
          <w:rFonts w:ascii="Times New Roman"/>
          <w:b/>
          <w:i w:val="false"/>
          <w:color w:val="000000"/>
        </w:rPr>
        <w:t xml:space="preserve"> Information on indicators of the International Telecommunication Union (hereinafter - ITU)</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submission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telephone network</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by May 1 and November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telephone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capacity of local public telephone exchanges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fixed telephone lines connected to digital telephone exchanges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 subscriber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fixed telephone lines that service apartment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telephone line rate in urban areas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settlements with telephone service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 public payphones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of the Integrated Services Digital Network (hereinafter - ISDN)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subscribers with a basic transmission rate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 ISDN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ISDN Voice Channel Equivalents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numbers in a fixed telephone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Contracts for mobile cellular telephony (with subsequent payment + prepaid)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 Contracts: Prepayment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pop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mobile cellular telephone network coverage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 4G mobile coverage (percentage of population)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Line Number Transmission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fixed (wired) Internet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Line Internet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Internet Bandwidth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Outgoing Internet Bandwidth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Inbound Internet Bandwidth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Internet Bandwidth</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Internet Bandwidth</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Outbound Internet Bandwidth</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 of broadband Internet with fixed (wired) communication depending on technology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4213tfb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broadband Internet subscribers with fixed (wired) access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Modem Internet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4213dsl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Subscribers of a digital subscriber line (hereinafter - DSL) (Internet)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4213ftt h /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Fiber Optic Home / Building Connection (FTTH / 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4213ob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subscribers of broadband Internet with fixed (wired) access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(wired) broadband depending on speed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2 56to2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with a speed from 256 kbit / s to less than 2 Mbit / 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2to10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with a speed from 2 Mbps to less than 10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G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Above 10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10to100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with a speed from 10 Mbps to less than 100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100to1G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with speeds from 100 Mbps to less than 1 Gbit / 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G 1Gb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Subscriber lines with a speed above 1 Gbit / 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Broadband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271twb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Wireless Broadband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271fw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Landline fixed wireless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271mw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Terrestrial Mobile Wireless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271mb_use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mobile lines using data transmission at broadband speeds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271md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Mobile Data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fixed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Long-distance fixed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Fixed Telephone Traffic</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outgoing traffic between fixed and mobile networks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132mb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incoming and outgoing fixed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outgoing fixed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132mi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incoming fixed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mobile traffic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minutes of outgoing / initial mobile communication with the same mobile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minutes of outgoing / initial mobile communication with other mobile networks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1332wmf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minutes of outgoing mobile communication with fixed networks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minutes of outgoing / initial mobile communication with international networks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minutes of incoming international communication with the mobile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sms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SMS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133mm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MMS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132tb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international incoming and outgoing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international outgoing telephone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international incoming phone traffic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VoIP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 in minutes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135tfb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traffic using fixed (wired) broadband (GB)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136mwi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traffic using mobile broadband (within the country) (GB)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136mwo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traffic using mobile broadband (outside the country, outgoing roaming ) (GB)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Tariffs for fixed local telephone services - lines for apartment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fee for telephone services for apartment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subscription fee for telephone services for apartment subscribers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three minutes of conversation in case of a local call via a fixed telephone network (tariff during the maximum load period)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three minutes of conversation in the case of a local call over a fixed telephone network (tariff at normal times)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Tariffs for fixed local telephone services - corporate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fee for corporate telephone services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subscription fee for corporate telephone services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tariffs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for connecting to a mobile cellular network with subsequent payment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connection to a mobile cellular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monthly subscription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 the cost of three minutes of local call (during the period of maximum load in the same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(during the period of maximum load on the same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(during the period of maximum load on another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(during the period of maximum load, with fixed line)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 the cost of three minutes of local call (at normal times on the same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(at normal times on the same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roo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 price per minute of local call (at regular times on another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(at regular times, with a fixed communication line)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153рwn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 price per minute of local call (on weekends / in the same network on weekends)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153pwo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 price per minute of local call (on weekends / in the evening on another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153pwf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mobile cellular communication - price per minute of local call (on weekends / in the evening, with a fixed communication line)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 SMS cost (on the same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153sms_po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 the cost of SMS (on another network)</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Tariffs for Internet with broadband access via fixed (wired) connection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4213bc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for broadband Internet access with fixed (wired) connection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subscription fee for using the Internet with broadband access via fixed (wired) connection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4213bs_s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rate when using fixed broadband access, in Mbps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4213bs_s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maximum amount of traffic when using fixed (wired) broadband access, in GB</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4213bs_cp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exceeding the limit on broadband access via fixed (wired) communication</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service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waiting list for fixed lines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failures per 100 fixed lines per year</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Percentage of fixed telephone line failures resolved by next business day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unsuccessful call rate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cellular rejected call rate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complaints per 100 fixed (wired) broadband contracts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activation time for fixed (wired) broadband services (in days)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Telecommunications Staff Full-Time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Female Telecommunications Staff</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Headcount in the field of mobile telecommunications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revenue from all telecommunication services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fixed telephone services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Revenue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annual investment in telecommunications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telephone service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Investing in (wired) broadband</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Investment</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investment in telecommunications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Pay-per-view TV (hereinafter referred to as TV)</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IPTV subscriber connections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Satellite TV subscriber connections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TV subscriber connections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965oth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subscription TV connections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form 6</w:t>
            </w:r>
          </w:p>
        </w:tc>
      </w:tr>
    </w:tbl>
    <w:p>
      <w:pPr>
        <w:spacing w:after="0"/>
        <w:ind w:left="0"/>
        <w:jc w:val="left"/>
      </w:pPr>
      <w:r>
        <w:rPr>
          <w:rFonts w:ascii="Times New Roman"/>
          <w:b/>
          <w:i w:val="false"/>
          <w:color w:val="000000"/>
        </w:rPr>
        <w:t xml:space="preserve"> Information on the indicators of the Regional Commonwealth in the field of communications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submission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stationary post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 by May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which in rural areas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postmen,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which in rural areas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postal terminals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(hereinafter -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which postal cash terminals used as points of connection to a data network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Fleet of cars used in mail transportation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work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deadlines for the passage of international and domestic shipments 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written deadlines (for domestic shipments)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correspondence, total,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written correspondence,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it: international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written correspondence,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correspondence with declared value,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 (hereinafter -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it: international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copies of periodicals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and delivered domestically by subscription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through a network of post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Hybrid mail,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wages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pensions and benefits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Parcels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mail (EMS services),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 (hereinafter referred to as pieces)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postal exchange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written correspondence out of it,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 written correspondence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written correspondence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correspondence with the declared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bags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parcels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departures from post - trade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email (hybrid mail)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express mail (EMS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transfers, total, of which: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Outgoing Paid Exchange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Incoming Paid Exchange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units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Tariffs for postal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for sending a simple letter within the country (weighing up to 20 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population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national currency (hereinafter - the unit of national currency)</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dollars (hereinafter - US dollars)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budget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fee for sending postal money order within the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population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budget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for sending an ordinary parcel by land transport within the country (in nominal weight for the corresponding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population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 dollars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budget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commercial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USA dollars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revenue from postal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units nat. currencies</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postal services per capita: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nat. currency / person</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annual number of postal workers ,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people (hereinafter - thousand people)</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time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people</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proportion of working women of the total number of staff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7</w:t>
            </w:r>
          </w:p>
        </w:tc>
      </w:tr>
    </w:tbl>
    <w:p>
      <w:pPr>
        <w:spacing w:after="0"/>
        <w:ind w:left="0"/>
        <w:jc w:val="left"/>
      </w:pPr>
      <w:r>
        <w:rPr>
          <w:rFonts w:ascii="Times New Roman"/>
          <w:b/>
          <w:i w:val="false"/>
          <w:color w:val="000000"/>
        </w:rPr>
        <w:t xml:space="preserve"> Report on the development of budget investments and loans of the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s/o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budget program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provision of budget investments / loans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purpose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Executor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budget investments / loans stipulated by the Law on the Republican Budget, mln.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allocated budget investments / loans, mln.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spent funds by the project executor, mln.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balance of uncommitted funds, mln.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period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developing budget investments / loans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investment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loans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8</w:t>
            </w:r>
          </w:p>
        </w:tc>
      </w:tr>
    </w:tbl>
    <w:p>
      <w:pPr>
        <w:spacing w:after="0"/>
        <w:ind w:left="0"/>
        <w:jc w:val="left"/>
      </w:pPr>
      <w:r>
        <w:rPr>
          <w:rFonts w:ascii="Times New Roman"/>
          <w:b/>
          <w:i w:val="false"/>
          <w:color w:val="000000"/>
        </w:rPr>
        <w:t xml:space="preserve"> Information on IT-specialists of the Fund group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r>
              <w:rPr>
                <w:rFonts w:ascii="Times New Roman"/>
                <w:b w:val="false"/>
                <w:i w:val="false"/>
                <w:color w:val="000000"/>
                <w:sz w:val="20"/>
              </w:rPr>
              <w:t>
s/o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IT-specialists in the Fund group (people)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IT-specialists of the highest level of qualification in the context of specialties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Analyst (pers.)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Developer (people)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IT specialties (people)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9</w:t>
            </w:r>
          </w:p>
        </w:tc>
      </w:tr>
    </w:tbl>
    <w:p>
      <w:pPr>
        <w:spacing w:after="0"/>
        <w:ind w:left="0"/>
        <w:jc w:val="left"/>
      </w:pPr>
      <w:r>
        <w:rPr>
          <w:rFonts w:ascii="Times New Roman"/>
          <w:b/>
          <w:i w:val="false"/>
          <w:color w:val="000000"/>
        </w:rPr>
        <w:t xml:space="preserve"> The structure of the Fund </w:t>
      </w:r>
      <w:r>
        <w:rPr>
          <w:rFonts w:ascii="Times New Roman"/>
          <w:b/>
          <w:i w:val="false"/>
          <w:color w:val="000000"/>
          <w:vertAlign w:val="superscript"/>
        </w:rPr>
        <w:t xml:space="preserve">7 </w:t>
      </w:r>
      <w:r>
        <w:rPr>
          <w:rFonts w:ascii="Times New Roman"/>
          <w:b/>
          <w:i w:val="false"/>
          <w:color w:val="000000"/>
        </w:rPr>
        <w:t xml:space="preserve">group according to the Methodology for the classification of legal entities the shares (interests)  of which are directly or indirectly owned by the Fund </w:t>
      </w:r>
      <w:r>
        <w:rPr>
          <w:rFonts w:ascii="Times New Roman"/>
          <w:b/>
          <w:i w:val="false"/>
          <w:color w:val="000000"/>
          <w:vertAlign w:val="superscript"/>
        </w:rPr>
        <w:t>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company (subsidiary / associate company, joint venture)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share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form of organization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w:t>
            </w:r>
            <w:r>
              <w:rPr>
                <w:rFonts w:ascii="Times New Roman"/>
                <w:b w:val="false"/>
                <w:i w:val="false"/>
                <w:color w:val="000000"/>
                <w:vertAlign w:val="superscript"/>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organizations, including: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Stock Company (JSC)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Limited Liability Partnership (TOO)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Non-residents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List of subsidiaries, affiliates and other legal entities of the Fund that are affiliated with them, on which the Fund has a significant influence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vertAlign w:val="superscript"/>
        </w:rPr>
        <w:t xml:space="preserve"> </w:t>
      </w:r>
      <w:r>
        <w:rPr>
          <w:rFonts w:ascii="Times New Roman"/>
          <w:b w:val="false"/>
          <w:i w:val="false"/>
          <w:color w:val="000000"/>
          <w:sz w:val="28"/>
        </w:rPr>
        <w:t>Approved by the Board of the Fund</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vertAlign w:val="superscript"/>
        </w:rPr>
        <w:t xml:space="preserve"> </w:t>
      </w:r>
      <w:r>
        <w:rPr>
          <w:rFonts w:ascii="Times New Roman"/>
          <w:b w:val="false"/>
          <w:i w:val="false"/>
          <w:color w:val="000000"/>
          <w:sz w:val="28"/>
        </w:rPr>
        <w:t>Business Identification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10</w:t>
            </w:r>
          </w:p>
        </w:tc>
      </w:tr>
    </w:tbl>
    <w:p>
      <w:pPr>
        <w:spacing w:after="0"/>
        <w:ind w:left="0"/>
        <w:jc w:val="left"/>
      </w:pPr>
      <w:r>
        <w:rPr>
          <w:rFonts w:ascii="Times New Roman"/>
          <w:b/>
          <w:i w:val="false"/>
          <w:color w:val="000000"/>
        </w:rPr>
        <w:t xml:space="preserve"> Fund Development Plan approved by the Board of Directors of the Fund and a report on its implementation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Macroeconomic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Consumer price index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Oil Price ( Brent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 dollar per barrel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 to US Dollar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 for 1 dollar on average per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GDP growth, in% to the previous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performance indicators (KPIs) for the Fund's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Consolidated financial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stability indicators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sales, interest income and other financial income (for subsidiaries of the financial segment by their core business), other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subsidies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non-core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operating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sales of products /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Shipping and distribution costs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profit “ +” / loss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in profit / loss of organizations accounted for using the equity method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 (loss) from discontinued operations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 expense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 (loss) before deduction of minority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Minority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 (loss)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to the shareholder (Government)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development costs (investments)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Fund investments in the authorized capital of subsidiaries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interests (without STB)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production assets and other fixed assets directly involved in the production process of subsidiaries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financing for investment projects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funds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to the authorized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 funds and debt obligations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republican budget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National Fund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 loans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 + 4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the year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of assessment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quarter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quarter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rd</w:t>
            </w:r>
            <w:r>
              <w:rPr>
                <w:rFonts w:ascii="Times New Roman"/>
                <w:b w:val="false"/>
                <w:i w:val="false"/>
                <w:color w:val="000000"/>
                <w:sz w:val="20"/>
              </w:rPr>
              <w:t xml:space="preserve"> quarter plan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Forecast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11</w:t>
            </w:r>
          </w:p>
        </w:tc>
      </w:tr>
    </w:tbl>
    <w:p>
      <w:pPr>
        <w:spacing w:after="0"/>
        <w:ind w:left="0"/>
        <w:jc w:val="left"/>
      </w:pPr>
      <w:r>
        <w:rPr>
          <w:rFonts w:ascii="Times New Roman"/>
          <w:b/>
          <w:i w:val="false"/>
          <w:color w:val="000000"/>
        </w:rPr>
        <w:t xml:space="preserve"> Information on the reasons for the balance of the Fund's cash control account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ARBP </w:t>
            </w:r>
            <w:r>
              <w:rPr>
                <w:rFonts w:ascii="Times New Roman"/>
                <w:b w:val="false"/>
                <w:i w:val="false"/>
                <w:color w:val="000000"/>
                <w:vertAlign w:val="superscript"/>
              </w:rPr>
              <w:t>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BP </w:t>
            </w:r>
            <w:r>
              <w:rPr>
                <w:rFonts w:ascii="Times New Roman"/>
                <w:b w:val="false"/>
                <w:i w:val="false"/>
                <w:color w:val="000000"/>
                <w:vertAlign w:val="superscript"/>
              </w:rPr>
              <w:t>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name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Unused balance on the cash control account (hereinafter - CCA) of the Fund at the beginning of the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budget funds provided for in the Law on the RB in the reporting financial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funds on the Fund's CCA (column 4 + column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 CCA of the Fund for the reporting financial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CCA of the Fund for the reporting financial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Unused balance at the CCA of the Fund at the end of the 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not using funds in the reporting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due to revenues of the reporting financial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balances of the reporting financial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vertAlign w:val="superscript"/>
        </w:rPr>
        <w:t xml:space="preserve"> </w:t>
      </w:r>
      <w:r>
        <w:rPr>
          <w:rFonts w:ascii="Times New Roman"/>
          <w:b w:val="false"/>
          <w:i w:val="false"/>
          <w:color w:val="000000"/>
          <w:sz w:val="28"/>
        </w:rPr>
        <w:t>Administrator of the republican budget program</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vertAlign w:val="superscript"/>
        </w:rPr>
        <w:t xml:space="preserve"> </w:t>
      </w:r>
      <w:r>
        <w:rPr>
          <w:rFonts w:ascii="Times New Roman"/>
          <w:b w:val="false"/>
          <w:i w:val="false"/>
          <w:color w:val="000000"/>
          <w:sz w:val="28"/>
        </w:rPr>
        <w:t>Budget program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12</w:t>
            </w:r>
          </w:p>
        </w:tc>
      </w:tr>
    </w:tbl>
    <w:p>
      <w:pPr>
        <w:spacing w:after="0"/>
        <w:ind w:left="0"/>
        <w:jc w:val="left"/>
      </w:pPr>
      <w:r>
        <w:rPr>
          <w:rFonts w:ascii="Times New Roman"/>
          <w:b/>
          <w:i w:val="false"/>
          <w:color w:val="000000"/>
        </w:rPr>
        <w:t xml:space="preserve"> Report on the transfer to a competitive environment of the facilities </w:t>
      </w:r>
      <w:r>
        <w:br/>
      </w:r>
      <w:r>
        <w:rPr>
          <w:rFonts w:ascii="Times New Roman"/>
          <w:b/>
          <w:i w:val="false"/>
          <w:color w:val="000000"/>
        </w:rPr>
        <w:t xml:space="preserve">of the Fund envisaged by Decree of the Government of the Republic of Kazakhstan </w:t>
      </w:r>
      <w:r>
        <w:br/>
      </w:r>
      <w:r>
        <w:rPr>
          <w:rFonts w:ascii="Times New Roman"/>
          <w:b/>
          <w:i w:val="false"/>
          <w:color w:val="000000"/>
        </w:rPr>
        <w:t xml:space="preserve">No. 908 of December 29, 2020 “On Certain Issues of Privatisation for 2021 – 2025” </w:t>
      </w:r>
      <w:r>
        <w:br/>
      </w:r>
      <w:r>
        <w:rPr>
          <w:rFonts w:ascii="Times New Roman"/>
          <w:b/>
          <w:i w:val="false"/>
          <w:color w:val="000000"/>
        </w:rPr>
        <w:t>(hereinafter referred to as DGRK No. 908)</w:t>
      </w:r>
    </w:p>
    <w:p>
      <w:pPr>
        <w:spacing w:after="0"/>
        <w:ind w:left="0"/>
        <w:jc w:val="both"/>
      </w:pPr>
      <w:r>
        <w:rPr>
          <w:rFonts w:ascii="Times New Roman"/>
          <w:b w:val="false"/>
          <w:i w:val="false"/>
          <w:color w:val="ff0000"/>
          <w:sz w:val="28"/>
        </w:rPr>
        <w:t>
      Footnote. Form 12 - as reworded by Decree of the Government of the Republic of Kazakhstan No. 949 dated 29.12.2021 (shall become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 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be found in Annex No. 2/ No. 5/ No. 6 to DGRK No. 908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share, total,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on sale (transfer),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to a competitive environment,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 (signing of contract of sale)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disposal from the structure of the Fund (sold, liquidated, reorganised)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sale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DGRK No.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Annex 2 of DGRK No.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Annex 5 of DGRK No.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Annex 6 of DGRK No. 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12, thousand tenge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13 (equity)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(starting)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Difference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12 Not required for liquidated and reorganised assets.</w:t>
      </w:r>
    </w:p>
    <w:p>
      <w:pPr>
        <w:spacing w:after="0"/>
        <w:ind w:left="0"/>
        <w:jc w:val="both"/>
      </w:pPr>
      <w:r>
        <w:rPr>
          <w:rFonts w:ascii="Times New Roman"/>
          <w:b w:val="false"/>
          <w:i w:val="false"/>
          <w:color w:val="000000"/>
          <w:sz w:val="28"/>
        </w:rPr>
        <w:t>
      13 Financial indicators for the accounting year prior to the year in which the asset is sold shall be specified.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Information of the Fund on accrued other distributions in favor of the Shareholder in the corporate center of the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Date,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14</w:t>
            </w:r>
          </w:p>
        </w:tc>
      </w:tr>
    </w:tbl>
    <w:p>
      <w:pPr>
        <w:spacing w:after="0"/>
        <w:ind w:left="0"/>
        <w:jc w:val="left"/>
      </w:pPr>
      <w:r>
        <w:rPr>
          <w:rFonts w:ascii="Times New Roman"/>
          <w:b/>
          <w:i w:val="false"/>
          <w:color w:val="000000"/>
        </w:rPr>
        <w:t xml:space="preserve"> Report on the transfer of dividends to the state block of shares of the Fund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body exercising the rights of ownership and use of the state block of shares (hereinafter - SBS)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SBS, 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for the year preceding the reporting financial year ( thousand tenge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transferred for the SBS in the reporting financial year ( thousand tenge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As of "____" ______________________ 20 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