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6f61" w14:textId="dd06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approval of types and capacity of medical care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Decree of the Government of the Republic of Kazakhstan No. 1481 dated December 7,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Unofficial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translation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 accordance with </w:t>
      </w:r>
      <w:r>
        <w:rPr>
          <w:rFonts w:ascii="Times New Roman"/>
          <w:b w:val="false"/>
          <w:i w:val="false"/>
          <w:color w:val="000000"/>
          <w:sz w:val="28"/>
        </w:rPr>
        <w:t>Articles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of the Code of the Republic of Kazakhstan dated September 18, 2009 "On health of people and healthcare system", the Government of the Republic of Kazakhstan hereby </w:t>
      </w:r>
      <w:r>
        <w:rPr>
          <w:rFonts w:ascii="Times New Roman"/>
          <w:b/>
          <w:i w:val="false"/>
          <w:color w:val="000000"/>
          <w:sz w:val="28"/>
        </w:rPr>
        <w:t>DECREES AS FOLLOWS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Approve the attached types and capacity: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qualified medical care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primary health care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highly specialized medical care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This Decree shall be enforced upon expiry of ten calendar days after the first official publication.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2"/>
        <w:gridCol w:w="4218"/>
      </w:tblGrid>
      <w:tr>
        <w:trPr>
          <w:trHeight w:val="30" w:hRule="atLeast"/>
        </w:trPr>
        <w:tc>
          <w:tcPr>
            <w:tcW w:w="7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The Prime Minister of the Republic of Kazakhstan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K. Massimov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Decree of the 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of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No. 1481 dated December 7, 2011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Types and capacity of qualified medical care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Qualified medical care - medical care provided by medical personnel with higher medical education, for diseases that not requiring specialized methods of diagnosis, treatment and medical rehabilitation.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Types of qualified medical care: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general medical practice;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therapy;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pediatrics;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surgery;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obstetrics and gynecology.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General medical practice/family medicine - medical care provided by general practitioners, focused on the provision of primary medical care.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The capacity of qualified medical care for patients shall be determined by medical indications on the basis of preventive, diagnostic and therapeutic measures that have the highest proven effectiveness.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Decree of the 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of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No. 1481 dated December 7, 2011 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Types and capacity of primary health care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Primary health care </w:t>
      </w:r>
      <w:r>
        <w:rPr>
          <w:rFonts w:ascii="Times New Roman"/>
          <w:b w:val="false"/>
          <w:i w:val="false"/>
          <w:color w:val="000000"/>
          <w:sz w:val="28"/>
        </w:rPr>
        <w:t>- pre-medical or qualified medical care provided by district physicians, pediatricians, general practitioners, feldshers, obstetricians and nurses, without round-the-clock medical supervision, including a range of affordable medical services provided at the person, family and society level.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Types of primary health care: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diagnostics for early detection of diseases;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outpatient treatment;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inpatient care (day care, home care);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temporary disability examination (issuance of a sheet, certificate of temporary disability);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preventive examinations;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immunization;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advice on formation and promotion of a healthy lifestyle;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recommendations for a rational and healthy diet;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advice and recommendations on family planning;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patronage of pregnant women, children, including newborns;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clinical examination and dynamic observation.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The capacity of primary health care for patients shall be determined by medical indications on the basis of preventive, diagnostic and therapeutic measures that have the highest proven effectiveness.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Decree of the 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of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No. 1481 dated December 7, 2011 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Types and capacity of highly specialized medical care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Highly specialized medical care - medical care provided by specialized specialists in diseases requiring the use of the latest diagnostic, treatment and medical rehabilitation technologies in medical organizations determined by the authorized authority.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The types of highly specialized medical care shall be divided into therapeutic, surgical, pediatric and obstetric-gynecological profiles and approved by the authorized authority in the field of healthcare.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The capacity of highly specialized medical care for patients shall be determined by medical indications on the basis of preventive, diagnostic and therapeutic measures that have the highest proven effectiveness.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